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2EE" w:rsidRPr="004E0BB3" w:rsidRDefault="006112EE" w:rsidP="006112EE">
      <w:pPr>
        <w:spacing w:before="240" w:after="240" w:line="360" w:lineRule="auto"/>
        <w:jc w:val="right"/>
        <w:rPr>
          <w:rFonts w:ascii="Palatino Linotype" w:hAnsi="Palatino Linotype"/>
          <w:b/>
        </w:rPr>
      </w:pPr>
      <w:r w:rsidRPr="004E0BB3">
        <w:rPr>
          <w:rFonts w:ascii="Palatino Linotype" w:hAnsi="Palatino Linotype"/>
          <w:b/>
        </w:rPr>
        <w:t>Metepec, México, 21 de enero de 2019</w:t>
      </w:r>
    </w:p>
    <w:p w:rsidR="003C152B" w:rsidRPr="004E0BB3" w:rsidRDefault="00B72322" w:rsidP="000E7C2C">
      <w:pPr>
        <w:spacing w:before="240" w:after="240" w:line="360" w:lineRule="auto"/>
        <w:jc w:val="both"/>
        <w:rPr>
          <w:rFonts w:ascii="Palatino Linotype" w:hAnsi="Palatino Linotype"/>
          <w:b/>
          <w:bCs/>
        </w:rPr>
      </w:pPr>
      <w:r w:rsidRPr="004E0BB3">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rPr>
                                <w:rFonts w:ascii="Palatino Linotype" w:hAnsi="Palatino Linotype"/>
                                <w:color w:val="A6A6A6" w:themeColor="background1" w:themeShade="A6"/>
                                <w:sz w:val="72"/>
                                <w:szCs w:val="72"/>
                                <w14:textFill>
                                  <w14:solidFill>
                                    <w14:schemeClr w14:val="bg1">
                                      <w14:alpha w14:val="50000"/>
                                      <w14:lumMod w14:val="65000"/>
                                    </w14:schemeClr>
                                  </w14:solidFill>
                                </w14:textFill>
                              </w:rP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r w:rsidR="003C152B">
                              <w:rPr>
                                <w:rFonts w:ascii="Palatino Linotype" w:hAnsi="Palatino Linotype"/>
                                <w:color w:val="A6A6A6" w:themeColor="background1" w:themeShade="A6"/>
                                <w:sz w:val="72"/>
                                <w:szCs w:val="72"/>
                                <w14:textFill>
                                  <w14:solidFill>
                                    <w14:schemeClr w14:val="bg1">
                                      <w14:alpha w14:val="50000"/>
                                      <w14:lumMod w14:val="65000"/>
                                    </w14:schemeClr>
                                  </w14:solidFill>
                                </w14:textFill>
                              </w:rPr>
                              <w:t>CONCURRENTE</w:t>
                            </w:r>
                          </w:p>
                          <w:p w:rsidR="003C152B" w:rsidRDefault="003C152B" w:rsidP="00B72322">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rPr>
                          <w:rFonts w:ascii="Palatino Linotype" w:hAnsi="Palatino Linotype"/>
                          <w:color w:val="A6A6A6" w:themeColor="background1" w:themeShade="A6"/>
                          <w:sz w:val="72"/>
                          <w:szCs w:val="72"/>
                          <w14:textFill>
                            <w14:solidFill>
                              <w14:schemeClr w14:val="bg1">
                                <w14:alpha w14:val="50000"/>
                                <w14:lumMod w14:val="65000"/>
                              </w14:schemeClr>
                            </w14:solidFill>
                          </w14:textFill>
                        </w:rP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r w:rsidR="003C152B">
                        <w:rPr>
                          <w:rFonts w:ascii="Palatino Linotype" w:hAnsi="Palatino Linotype"/>
                          <w:color w:val="A6A6A6" w:themeColor="background1" w:themeShade="A6"/>
                          <w:sz w:val="72"/>
                          <w:szCs w:val="72"/>
                          <w14:textFill>
                            <w14:solidFill>
                              <w14:schemeClr w14:val="bg1">
                                <w14:alpha w14:val="50000"/>
                                <w14:lumMod w14:val="65000"/>
                              </w14:schemeClr>
                            </w14:solidFill>
                          </w14:textFill>
                        </w:rPr>
                        <w:t>CONCURRENTE</w:t>
                      </w:r>
                    </w:p>
                    <w:p w:rsidR="003C152B" w:rsidRDefault="003C152B" w:rsidP="00B72322">
                      <w:pPr>
                        <w:pStyle w:val="NormalWeb"/>
                        <w:spacing w:before="0" w:beforeAutospacing="0" w:after="0" w:afterAutospacing="0"/>
                        <w:jc w:val="center"/>
                      </w:pPr>
                    </w:p>
                  </w:txbxContent>
                </v:textbox>
                <w10:wrap anchorx="margin" anchory="margin"/>
              </v:shape>
            </w:pict>
          </mc:Fallback>
        </mc:AlternateContent>
      </w:r>
      <w:r w:rsidR="003C152B" w:rsidRPr="004E0BB3">
        <w:rPr>
          <w:rFonts w:ascii="Palatino Linotype" w:hAnsi="Palatino Linotype"/>
          <w:b/>
        </w:rPr>
        <w:t xml:space="preserve">VOTO PARTICULAR CONCURRENTE QUE FORMULAN LA COMISIONADA PRESIDENTA ZULMA MARTÍNEZ SÁNCHEZ Y EL COMISIONADO JAVIER MARTÍNEZ CRUZ, EN RELACIÓN CON LA RESOLUCIÓN DICTADA POR EL PLENO DEL INSTITUTO DE TRANSPARENCIA, ACCESO A LA INFORMACIÓN PÚBLICA Y PROTECCIÓN DE DATOS PERSONALES DEL ESTADO DE MÉXICO Y MUNICIPIOS, EN LA SEGUNDA SESIÓN ORDINARIA DEL DIECISÉIS DE ENERO DE DOS MIL DIECINUEVE, EN EL RECURSO DE REVISIÓN </w:t>
      </w:r>
      <w:r w:rsidR="003C152B" w:rsidRPr="004E0BB3">
        <w:rPr>
          <w:rFonts w:ascii="Palatino Linotype" w:hAnsi="Palatino Linotype"/>
          <w:b/>
          <w:bCs/>
        </w:rPr>
        <w:t xml:space="preserve">04052/INFOEM/IP/RR/2018 Y </w:t>
      </w:r>
      <w:r w:rsidR="004E0BB3" w:rsidRPr="004E0BB3">
        <w:rPr>
          <w:rFonts w:ascii="Palatino Linotype" w:hAnsi="Palatino Linotype" w:cs="Arial"/>
          <w:b/>
          <w:bCs/>
          <w:lang w:eastAsia="es-MX"/>
        </w:rPr>
        <w:t xml:space="preserve">04053/INFOEM/IP/RR/2018 </w:t>
      </w:r>
      <w:r w:rsidR="003C152B" w:rsidRPr="004E0BB3">
        <w:rPr>
          <w:rFonts w:ascii="Palatino Linotype" w:hAnsi="Palatino Linotype"/>
          <w:b/>
          <w:bCs/>
        </w:rPr>
        <w:t>ACUMULADO</w:t>
      </w:r>
      <w:r w:rsidR="004E0BB3" w:rsidRPr="004E0BB3">
        <w:rPr>
          <w:rFonts w:ascii="Palatino Linotype" w:hAnsi="Palatino Linotype"/>
          <w:b/>
          <w:bCs/>
        </w:rPr>
        <w:t>S</w:t>
      </w:r>
      <w:r w:rsidR="003C152B" w:rsidRPr="004E0BB3">
        <w:rPr>
          <w:rFonts w:ascii="Palatino Linotype" w:hAnsi="Palatino Linotype"/>
          <w:b/>
          <w:bCs/>
        </w:rPr>
        <w:t>.</w:t>
      </w:r>
    </w:p>
    <w:p w:rsidR="00551987" w:rsidRPr="004E0BB3" w:rsidRDefault="00B72322" w:rsidP="000E7C2C">
      <w:pPr>
        <w:spacing w:before="240" w:after="240" w:line="360" w:lineRule="auto"/>
        <w:jc w:val="both"/>
        <w:rPr>
          <w:rFonts w:ascii="Palatino Linotype" w:hAnsi="Palatino Linotype"/>
        </w:rPr>
      </w:pPr>
      <w:r w:rsidRPr="004E0BB3">
        <w:rPr>
          <w:rFonts w:ascii="Palatino Linotype" w:hAnsi="Palatino Linotype"/>
        </w:rPr>
        <w:t>El Pleno del Instituto de Transparenci</w:t>
      </w:r>
      <w:bookmarkStart w:id="0" w:name="_GoBack"/>
      <w:bookmarkEnd w:id="0"/>
      <w:r w:rsidRPr="004E0BB3">
        <w:rPr>
          <w:rFonts w:ascii="Palatino Linotype" w:hAnsi="Palatino Linotype"/>
        </w:rPr>
        <w:t>a, Acceso a la Información Pública y Protección de Datos Personales del Estado de México resolvió por unanimidad de voto</w:t>
      </w:r>
      <w:r w:rsidR="007B3391" w:rsidRPr="004E0BB3">
        <w:rPr>
          <w:rFonts w:ascii="Palatino Linotype" w:hAnsi="Palatino Linotype"/>
        </w:rPr>
        <w:t>s,</w:t>
      </w:r>
      <w:r w:rsidR="0043077C" w:rsidRPr="004E0BB3">
        <w:rPr>
          <w:rFonts w:ascii="Palatino Linotype" w:hAnsi="Palatino Linotype"/>
        </w:rPr>
        <w:t xml:space="preserve"> la resolución relativa a</w:t>
      </w:r>
      <w:r w:rsidR="00CA4DC5" w:rsidRPr="004E0BB3">
        <w:rPr>
          <w:rFonts w:ascii="Palatino Linotype" w:hAnsi="Palatino Linotype"/>
        </w:rPr>
        <w:t xml:space="preserve">l </w:t>
      </w:r>
      <w:r w:rsidRPr="004E0BB3">
        <w:rPr>
          <w:rFonts w:ascii="Palatino Linotype" w:hAnsi="Palatino Linotype"/>
        </w:rPr>
        <w:t xml:space="preserve">recurso de revisión </w:t>
      </w:r>
      <w:r w:rsidR="003E5641" w:rsidRPr="004E0BB3">
        <w:rPr>
          <w:rFonts w:ascii="Palatino Linotype" w:hAnsi="Palatino Linotype" w:cs="Arial"/>
          <w:b/>
          <w:bCs/>
          <w:lang w:eastAsia="es-MX"/>
        </w:rPr>
        <w:t>0</w:t>
      </w:r>
      <w:r w:rsidR="003C152B" w:rsidRPr="004E0BB3">
        <w:rPr>
          <w:rFonts w:ascii="Palatino Linotype" w:hAnsi="Palatino Linotype" w:cs="Arial"/>
          <w:b/>
          <w:bCs/>
          <w:lang w:eastAsia="es-MX"/>
        </w:rPr>
        <w:t>4052</w:t>
      </w:r>
      <w:r w:rsidR="007B3391" w:rsidRPr="004E0BB3">
        <w:rPr>
          <w:rFonts w:ascii="Palatino Linotype" w:hAnsi="Palatino Linotype" w:cs="Arial"/>
          <w:b/>
          <w:bCs/>
          <w:lang w:eastAsia="es-MX"/>
        </w:rPr>
        <w:t>/INFOEM/IP/RR/2018</w:t>
      </w:r>
      <w:r w:rsidR="00591E2C" w:rsidRPr="004E0BB3">
        <w:rPr>
          <w:rFonts w:ascii="Palatino Linotype" w:hAnsi="Palatino Linotype" w:cs="Arial"/>
          <w:b/>
          <w:bCs/>
          <w:lang w:eastAsia="es-MX"/>
        </w:rPr>
        <w:t xml:space="preserve"> y 0</w:t>
      </w:r>
      <w:r w:rsidR="003C152B" w:rsidRPr="004E0BB3">
        <w:rPr>
          <w:rFonts w:ascii="Palatino Linotype" w:hAnsi="Palatino Linotype" w:cs="Arial"/>
          <w:b/>
          <w:bCs/>
          <w:lang w:eastAsia="es-MX"/>
        </w:rPr>
        <w:t>4053</w:t>
      </w:r>
      <w:r w:rsidR="00591E2C" w:rsidRPr="004E0BB3">
        <w:rPr>
          <w:rFonts w:ascii="Palatino Linotype" w:hAnsi="Palatino Linotype" w:cs="Arial"/>
          <w:b/>
          <w:bCs/>
          <w:lang w:eastAsia="es-MX"/>
        </w:rPr>
        <w:t>/INFOEM/IP/RR/2018</w:t>
      </w:r>
      <w:r w:rsidR="00591E2C" w:rsidRPr="004E0BB3">
        <w:rPr>
          <w:rFonts w:ascii="Palatino Linotype" w:hAnsi="Palatino Linotype" w:cs="Arial"/>
          <w:bCs/>
          <w:lang w:eastAsia="es-MX"/>
        </w:rPr>
        <w:t xml:space="preserve"> acumulados</w:t>
      </w:r>
      <w:r w:rsidR="00EA52DE" w:rsidRPr="004E0BB3">
        <w:rPr>
          <w:rFonts w:ascii="Palatino Linotype" w:hAnsi="Palatino Linotype" w:cs="Arial"/>
          <w:b/>
          <w:bCs/>
          <w:lang w:eastAsia="es-MX"/>
        </w:rPr>
        <w:t xml:space="preserve">, </w:t>
      </w:r>
      <w:r w:rsidRPr="004E0BB3">
        <w:rPr>
          <w:rFonts w:ascii="Palatino Linotype" w:hAnsi="Palatino Linotype"/>
        </w:rPr>
        <w:t xml:space="preserve">presentada por </w:t>
      </w:r>
      <w:r w:rsidR="003C152B" w:rsidRPr="004E0BB3">
        <w:rPr>
          <w:rFonts w:ascii="Palatino Linotype" w:hAnsi="Palatino Linotype"/>
        </w:rPr>
        <w:t xml:space="preserve">la </w:t>
      </w:r>
      <w:r w:rsidR="00A5140D" w:rsidRPr="004E0BB3">
        <w:rPr>
          <w:rFonts w:ascii="Palatino Linotype" w:hAnsi="Palatino Linotype"/>
        </w:rPr>
        <w:t>Comisionad</w:t>
      </w:r>
      <w:r w:rsidR="003C152B" w:rsidRPr="004E0BB3">
        <w:rPr>
          <w:rFonts w:ascii="Palatino Linotype" w:hAnsi="Palatino Linotype"/>
        </w:rPr>
        <w:t>a</w:t>
      </w:r>
      <w:r w:rsidRPr="004E0BB3">
        <w:rPr>
          <w:rFonts w:ascii="Palatino Linotype" w:hAnsi="Palatino Linotype"/>
        </w:rPr>
        <w:t xml:space="preserve"> </w:t>
      </w:r>
      <w:r w:rsidR="003C152B" w:rsidRPr="004E0BB3">
        <w:rPr>
          <w:rFonts w:ascii="Palatino Linotype" w:hAnsi="Palatino Linotype"/>
        </w:rPr>
        <w:t>Eva Abaid Yapur</w:t>
      </w:r>
      <w:r w:rsidRPr="004E0BB3">
        <w:rPr>
          <w:rFonts w:ascii="Palatino Linotype" w:hAnsi="Palatino Linotype"/>
        </w:rPr>
        <w:t xml:space="preserve">, </w:t>
      </w:r>
      <w:r w:rsidR="003C152B" w:rsidRPr="004E0BB3">
        <w:rPr>
          <w:rFonts w:ascii="Palatino Linotype" w:hAnsi="Palatino Linotype"/>
        </w:rPr>
        <w:t xml:space="preserve">respecto de la cual la Comisionada Presidenta Zulema Martínez Sánchez y el </w:t>
      </w:r>
      <w:r w:rsidR="003E5641" w:rsidRPr="004E0BB3">
        <w:rPr>
          <w:rFonts w:ascii="Palatino Linotype" w:hAnsi="Palatino Linotype"/>
        </w:rPr>
        <w:t>Comisionado Javier Martínez Cruz emite</w:t>
      </w:r>
      <w:r w:rsidR="003C152B" w:rsidRPr="004E0BB3">
        <w:rPr>
          <w:rFonts w:ascii="Palatino Linotype" w:hAnsi="Palatino Linotype"/>
        </w:rPr>
        <w:t>n</w:t>
      </w:r>
      <w:r w:rsidR="003E5641" w:rsidRPr="004E0BB3">
        <w:rPr>
          <w:rFonts w:ascii="Palatino Linotype" w:hAnsi="Palatino Linotype"/>
        </w:rPr>
        <w:t xml:space="preserve"> </w:t>
      </w:r>
      <w:r w:rsidR="003E5641" w:rsidRPr="004E0BB3">
        <w:rPr>
          <w:rFonts w:ascii="Palatino Linotype" w:hAnsi="Palatino Linotype"/>
          <w:b/>
        </w:rPr>
        <w:t>VOTO PARTICULAR</w:t>
      </w:r>
      <w:r w:rsidR="003C152B" w:rsidRPr="004E0BB3">
        <w:rPr>
          <w:rFonts w:ascii="Palatino Linotype" w:hAnsi="Palatino Linotype"/>
          <w:b/>
        </w:rPr>
        <w:t xml:space="preserve"> CONCURRENTE</w:t>
      </w:r>
      <w:r w:rsidR="00551987" w:rsidRPr="004E0BB3">
        <w:rPr>
          <w:rFonts w:ascii="Palatino Linotype" w:hAnsi="Palatino Linotype"/>
        </w:rPr>
        <w:t xml:space="preserve"> con fundamento en el artículo 14 fracción XI del Reglamento del Instituto de Transparencia, Acceso a la Información Pública y Protección de Personales Datos del Estado de México.</w:t>
      </w:r>
    </w:p>
    <w:p w:rsidR="006112EE" w:rsidRPr="004E0BB3" w:rsidRDefault="006112EE" w:rsidP="000E7C2C">
      <w:pPr>
        <w:spacing w:before="240" w:after="240" w:line="360" w:lineRule="auto"/>
        <w:jc w:val="both"/>
        <w:rPr>
          <w:rFonts w:ascii="Palatino Linotype" w:hAnsi="Palatino Linotype"/>
        </w:rPr>
      </w:pPr>
      <w:r w:rsidRPr="004E0BB3">
        <w:rPr>
          <w:rFonts w:ascii="Palatino Linotype" w:hAnsi="Palatino Linotype"/>
        </w:rPr>
        <w:t>Así, cabe recordar que la materia en la que radicó la solicitud de información fue:</w:t>
      </w:r>
    </w:p>
    <w:p w:rsidR="006112EE" w:rsidRPr="004E0BB3" w:rsidRDefault="006112EE" w:rsidP="006112EE">
      <w:pPr>
        <w:spacing w:after="0" w:line="360" w:lineRule="auto"/>
        <w:jc w:val="both"/>
        <w:rPr>
          <w:rFonts w:ascii="Palatino Linotype" w:eastAsia="Times New Roman" w:hAnsi="Palatino Linotype" w:cs="Times New Roman"/>
          <w:b/>
          <w:szCs w:val="24"/>
          <w:lang w:eastAsia="es-ES"/>
        </w:rPr>
      </w:pPr>
      <w:r w:rsidRPr="004E0BB3">
        <w:rPr>
          <w:rFonts w:ascii="Palatino Linotype" w:eastAsia="Times New Roman" w:hAnsi="Palatino Linotype" w:cs="Times New Roman"/>
          <w:b/>
          <w:szCs w:val="24"/>
          <w:lang w:eastAsia="es-ES"/>
        </w:rPr>
        <w:t>00080/ACAMBAY/IP/2018</w:t>
      </w:r>
      <w:r w:rsidRPr="004E0BB3">
        <w:rPr>
          <w:rFonts w:ascii="Palatino Linotype" w:eastAsia="Times New Roman" w:hAnsi="Palatino Linotype" w:cs="Times New Roman"/>
          <w:b/>
          <w:szCs w:val="24"/>
          <w:lang w:eastAsia="es-ES"/>
        </w:rPr>
        <w:tab/>
      </w:r>
    </w:p>
    <w:p w:rsidR="006112EE" w:rsidRPr="004E0BB3" w:rsidRDefault="006112EE" w:rsidP="001F0E4F">
      <w:pPr>
        <w:spacing w:before="100" w:beforeAutospacing="1" w:after="100" w:afterAutospacing="1" w:line="240" w:lineRule="auto"/>
        <w:ind w:left="709" w:right="757"/>
        <w:jc w:val="both"/>
        <w:rPr>
          <w:rFonts w:ascii="Palatino Linotype" w:eastAsia="Times New Roman" w:hAnsi="Palatino Linotype" w:cs="Times New Roman"/>
          <w:sz w:val="20"/>
          <w:szCs w:val="24"/>
          <w:lang w:eastAsia="es-ES"/>
        </w:rPr>
      </w:pPr>
      <w:r w:rsidRPr="004E0BB3">
        <w:rPr>
          <w:rFonts w:ascii="Palatino Linotype" w:eastAsia="Times New Roman" w:hAnsi="Palatino Linotype" w:cs="Times New Roman"/>
          <w:i/>
          <w:sz w:val="20"/>
          <w:szCs w:val="24"/>
          <w:lang w:eastAsia="es-ES"/>
        </w:rPr>
        <w:t xml:space="preserve">“Solicito que sea proporcionada la información descrita en las fracciones II, VIII, X, XII, XXV, XXVI, XXVIII, XXX, XXXV, XXXVIII, XL, XLVII del artículo 92 de la Ley de </w:t>
      </w:r>
      <w:r w:rsidRPr="004E0BB3">
        <w:rPr>
          <w:rFonts w:ascii="Palatino Linotype" w:eastAsia="Times New Roman" w:hAnsi="Palatino Linotype" w:cs="Times New Roman"/>
          <w:i/>
          <w:sz w:val="20"/>
          <w:szCs w:val="24"/>
          <w:lang w:eastAsia="es-ES"/>
        </w:rPr>
        <w:lastRenderedPageBreak/>
        <w:t>Transparencia, Acceso a la Información Pública del Estado de México y Municipios (LTAIPEMM); así como la descrita en el artículo 94, fracción I, inciso b), d) y f); de la ley en cuestión. Se adjunta solicitud”</w:t>
      </w:r>
      <w:r w:rsidRPr="004E0BB3">
        <w:rPr>
          <w:rFonts w:ascii="Palatino Linotype" w:eastAsia="Times New Roman" w:hAnsi="Palatino Linotype" w:cs="Times New Roman"/>
          <w:sz w:val="20"/>
          <w:szCs w:val="24"/>
          <w:lang w:eastAsia="es-ES"/>
        </w:rPr>
        <w:t xml:space="preserve"> (Sic)</w:t>
      </w:r>
    </w:p>
    <w:p w:rsidR="006112EE" w:rsidRPr="004E0BB3" w:rsidRDefault="006112EE" w:rsidP="001F0E4F">
      <w:pPr>
        <w:spacing w:before="100" w:beforeAutospacing="1" w:after="100" w:afterAutospacing="1" w:line="360" w:lineRule="auto"/>
        <w:jc w:val="both"/>
        <w:rPr>
          <w:rFonts w:ascii="Palatino Linotype" w:eastAsia="Times New Roman" w:hAnsi="Palatino Linotype" w:cs="Times New Roman"/>
          <w:b/>
          <w:szCs w:val="24"/>
          <w:lang w:eastAsia="es-ES"/>
        </w:rPr>
      </w:pPr>
      <w:r w:rsidRPr="004E0BB3">
        <w:rPr>
          <w:rFonts w:ascii="Palatino Linotype" w:eastAsia="Times New Roman" w:hAnsi="Palatino Linotype" w:cs="Times New Roman"/>
          <w:b/>
          <w:szCs w:val="24"/>
          <w:lang w:eastAsia="es-ES"/>
        </w:rPr>
        <w:t>00081/ACAMBAY/IP/2018</w:t>
      </w:r>
      <w:r w:rsidRPr="004E0BB3">
        <w:rPr>
          <w:rFonts w:ascii="Palatino Linotype" w:eastAsia="Times New Roman" w:hAnsi="Palatino Linotype" w:cs="Times New Roman"/>
          <w:b/>
          <w:szCs w:val="24"/>
          <w:lang w:eastAsia="es-ES"/>
        </w:rPr>
        <w:tab/>
      </w:r>
    </w:p>
    <w:p w:rsidR="006112EE" w:rsidRPr="004E0BB3" w:rsidRDefault="006112EE" w:rsidP="006112EE">
      <w:pPr>
        <w:spacing w:before="100" w:beforeAutospacing="1" w:after="100" w:afterAutospacing="1" w:line="240" w:lineRule="auto"/>
        <w:ind w:left="709" w:right="757"/>
        <w:jc w:val="both"/>
        <w:rPr>
          <w:rFonts w:ascii="Palatino Linotype" w:eastAsia="Times New Roman" w:hAnsi="Palatino Linotype" w:cs="Times New Roman"/>
          <w:sz w:val="20"/>
          <w:szCs w:val="24"/>
          <w:lang w:eastAsia="es-ES"/>
        </w:rPr>
      </w:pPr>
      <w:r w:rsidRPr="004E0BB3">
        <w:rPr>
          <w:rFonts w:ascii="Palatino Linotype" w:eastAsia="Times New Roman" w:hAnsi="Palatino Linotype" w:cs="Times New Roman"/>
          <w:i/>
          <w:sz w:val="20"/>
          <w:szCs w:val="24"/>
          <w:lang w:eastAsia="es-ES"/>
        </w:rPr>
        <w:t>“Solicito que sea proporcionada la información descrita en las fracciones XXXII y XXXVII del artículo 92 de la Ley de Transparencia, Acceso a la Información Pública del Estado de México y Municipios (LTAIPEMM). (En documento anexo se adjunta la solicitud)”</w:t>
      </w:r>
      <w:r w:rsidRPr="004E0BB3">
        <w:rPr>
          <w:rFonts w:ascii="Palatino Linotype" w:eastAsia="Times New Roman" w:hAnsi="Palatino Linotype" w:cs="Times New Roman"/>
          <w:sz w:val="20"/>
          <w:szCs w:val="24"/>
          <w:lang w:eastAsia="es-ES"/>
        </w:rPr>
        <w:t xml:space="preserve"> (Sic)</w:t>
      </w:r>
    </w:p>
    <w:p w:rsidR="001F0E4F" w:rsidRPr="004E0BB3" w:rsidRDefault="006112EE" w:rsidP="001F0E4F">
      <w:pPr>
        <w:spacing w:before="100" w:beforeAutospacing="1" w:after="100" w:afterAutospacing="1" w:line="360" w:lineRule="auto"/>
        <w:jc w:val="both"/>
        <w:rPr>
          <w:rFonts w:ascii="Palatino Linotype" w:hAnsi="Palatino Linotype"/>
        </w:rPr>
      </w:pPr>
      <w:r w:rsidRPr="004E0BB3">
        <w:rPr>
          <w:rFonts w:ascii="Palatino Linotype" w:hAnsi="Palatino Linotype"/>
        </w:rPr>
        <w:t>Posteriormente, el Sujeto Obligado envió como respuesta lo siguiente:</w:t>
      </w:r>
    </w:p>
    <w:p w:rsidR="001F0E4F" w:rsidRPr="004E0BB3" w:rsidRDefault="001F0E4F" w:rsidP="001F0E4F">
      <w:pPr>
        <w:tabs>
          <w:tab w:val="left" w:pos="8222"/>
        </w:tabs>
        <w:spacing w:after="0" w:line="240" w:lineRule="auto"/>
        <w:ind w:left="709" w:right="757"/>
        <w:jc w:val="both"/>
        <w:rPr>
          <w:rFonts w:ascii="Palatino Linotype" w:eastAsia="Times New Roman" w:hAnsi="Palatino Linotype" w:cs="Arial"/>
          <w:i/>
          <w:sz w:val="20"/>
          <w:szCs w:val="24"/>
          <w:lang w:eastAsia="es-ES"/>
        </w:rPr>
      </w:pPr>
      <w:r w:rsidRPr="004E0BB3">
        <w:rPr>
          <w:rFonts w:ascii="Palatino Linotype" w:eastAsia="Times New Roman" w:hAnsi="Palatino Linotype" w:cs="Arial"/>
          <w:i/>
          <w:sz w:val="20"/>
          <w:szCs w:val="24"/>
          <w:lang w:eastAsia="es-ES"/>
        </w:rPr>
        <w:t xml:space="preserve"> “…en atención a su solicitud de información No. 00080/ACAMBAY/IP/2018, recibida por esta dependencia vía Sistema Electrónico Denominado Sistema de Acceso a la Información Mexiquense (SAIMEX) de fecha 05 de septiembre de 2018, dirigida al Ayuntamiento de Acambay de Ruiz Castañeda, Estado de México, como sujeto Obligado de la Ley de Transparencia y Acceso a la Información Pública del Estado de México y Municipios; mediante el cual solicita acceso a la información siguiente: “Que sea proporcionada la información descrita en las fracciones II, VIII, X, XII, XXV, XXVI, XXVIII, XXX, XXXV, XXXVIII, XL, XLVII del artículo 92 de la Ley de Transparencia, Acceso a la Información Pública del Estado de México y Municipios (LTAIPEMM); así como la descrita en el artículo 94, fracción I, inciso b), d) y f); de la ley en cuestión. Se adjunta solicitud”. se determina que le corresponde a este Ayuntamiento como Sujeto Obligado informa lo siguie</w:t>
      </w:r>
      <w:r w:rsidR="001033CC">
        <w:rPr>
          <w:rFonts w:ascii="Palatino Linotype" w:eastAsia="Times New Roman" w:hAnsi="Palatino Linotype" w:cs="Arial"/>
          <w:i/>
          <w:sz w:val="20"/>
          <w:szCs w:val="24"/>
          <w:lang w:eastAsia="es-ES"/>
        </w:rPr>
        <w:t>nte referente a su petición: 1.</w:t>
      </w:r>
      <w:r w:rsidRPr="004E0BB3">
        <w:rPr>
          <w:rFonts w:ascii="Palatino Linotype" w:eastAsia="Times New Roman" w:hAnsi="Palatino Linotype" w:cs="Arial"/>
          <w:i/>
          <w:sz w:val="20"/>
          <w:szCs w:val="24"/>
          <w:lang w:eastAsia="es-ES"/>
        </w:rPr>
        <w:t>Que El Instituto de Transparencia, Acceso a la Información Pública y Protección de Datos Personales del Estado de México y Municipios ha desarrollado dos plataformas electrónicas que permiten cumplir las obligaciones de información pública de oficio (IPOMEX) y las solicitudes y recursos de revisión (SAIMEX). Bajo este orden de ideas y atendiendo su solicitud se le proporciona el link del IPOMEX del Sujeto Obligado Acambay de Ruiz Castañeda siendo https://www.ipomex.org.mx/ipo3/lgt/indice/acambay.web, lo anterior a efectos de que pueda usted consultar y descargar toda la informacion que requiera de las fracciones II, VIII, X, XII, XXV, XXVI, XXVIII, XXX, XXXV, XXXVIII, XL, XLVII del artículo 92 de la Ley de Transparencia, Acceso a la Información Pública del Estado de México y Municipios (LTAIPEMM); así como la descrita en el artículo 94, fracción I, inciso b), d) y f), ya que la informacion que solicita es cumun y publica de oficio por lo que esta a su libre disposición ademas de que en su solicitud no señala de que ejercicio fiscal requiere la informacion, estado disponible en el portal la informacion del ejercicio presente y anteriores.” (Sic.)</w:t>
      </w:r>
    </w:p>
    <w:p w:rsidR="001F0E4F" w:rsidRPr="004E0BB3" w:rsidRDefault="001F0E4F" w:rsidP="001F0E4F">
      <w:pPr>
        <w:tabs>
          <w:tab w:val="left" w:pos="8222"/>
        </w:tabs>
        <w:spacing w:after="0" w:line="240" w:lineRule="auto"/>
        <w:ind w:left="709" w:right="757"/>
        <w:jc w:val="both"/>
        <w:rPr>
          <w:rFonts w:ascii="Palatino Linotype" w:eastAsia="Times New Roman" w:hAnsi="Palatino Linotype" w:cs="Arial"/>
          <w:i/>
          <w:sz w:val="20"/>
          <w:szCs w:val="24"/>
          <w:lang w:eastAsia="es-ES"/>
        </w:rPr>
      </w:pPr>
    </w:p>
    <w:p w:rsidR="001F0E4F" w:rsidRPr="004E0BB3" w:rsidRDefault="001F0E4F" w:rsidP="001F0E4F">
      <w:pPr>
        <w:spacing w:after="0" w:line="240" w:lineRule="auto"/>
        <w:ind w:left="709" w:right="757"/>
        <w:jc w:val="both"/>
        <w:rPr>
          <w:rFonts w:ascii="Palatino Linotype" w:eastAsia="Times New Roman" w:hAnsi="Palatino Linotype" w:cs="Times New Roman"/>
          <w:i/>
          <w:sz w:val="20"/>
          <w:szCs w:val="24"/>
          <w:lang w:eastAsia="es-ES"/>
        </w:rPr>
      </w:pPr>
      <w:r w:rsidRPr="004E0BB3">
        <w:rPr>
          <w:rFonts w:ascii="Palatino Linotype" w:eastAsia="Times New Roman" w:hAnsi="Palatino Linotype" w:cs="Times New Roman"/>
          <w:i/>
          <w:sz w:val="20"/>
          <w:szCs w:val="24"/>
          <w:lang w:eastAsia="es-ES"/>
        </w:rPr>
        <w:t>“…en atención a su solicitud de información No. 00081/ACAMBAY/IP/2018, recibida por esta dependencia vía Sistema Electrónico Denominado Sistema de Acceso a la Información Mexiquense (SAIMEX) de fecha 11 de septiembre de 2018, dirigida al Ayuntamiento de Acambay de Ruiz Castañeda, Estado de México, como sujeto Obligado de la Ley de Transparencia y Acceso a la Información Pública del Estado de México y Municipios; mediante el cual solicita acceso a la información siguiente: “Que sea proporcionada la información descrita en las fracciones XXXII y XXXVII del artículo 92 de la Ley de Transparencia, Acceso a la Información Pública del Estado de México y Municipios (LTAIPEMM). (En documento anexo se adjunta la solicitud)”. se determina que le corresponde a este Ayuntamiento como Sujeto Obligado informa lo siguiente referente a su petición: 1.</w:t>
      </w:r>
      <w:r w:rsidRPr="004E0BB3">
        <w:rPr>
          <w:rFonts w:ascii="Palatino Linotype" w:eastAsia="Times New Roman" w:hAnsi="Palatino Linotype" w:cs="Times New Roman"/>
          <w:i/>
          <w:sz w:val="20"/>
          <w:szCs w:val="24"/>
          <w:lang w:eastAsia="es-ES"/>
        </w:rPr>
        <w:tab/>
        <w:t>Que El Instituto de Transparencia, Acceso a la Información Pública y Protección de Datos Personales del Estado de México y Municipios ha desarrollado dos plataformas electrónicas que permiten cumplir las obligaciones de información pública de oficio (IPOMEX) y las solicitudes y recursos de revisión (SAIMEX). Bajo este orden de ideas y atendiendo su solicitud se le proporciona el link del IPOMEX del Sujeto Obligado Acambay de Ruiz Castañeda siendo https://www.ipomex.org.mx/ipo3/lgt/indice/acambay.web, lo anterior a efectos de que pueda usted consultar y descargar toda la informacion que requiera de las las fracciones XXXII y XXXVII del artículo 92 de la Ley de Transparencia, Acceso a la Información Pública del Estado de México y Municipios (LTAIPEMM), ya que la informacion que solicita es cumun y publica de oficio por lo que esta a su libre disposición ademas de que en su solicitud no señala de que ejercicio fiscal requiere la informacion, estado disponible en el portal la informacion del ejercicio presente y anteriores.” (Sic.)</w:t>
      </w:r>
    </w:p>
    <w:p w:rsidR="001F0E4F" w:rsidRPr="004E0BB3" w:rsidRDefault="001F0E4F" w:rsidP="001F0E4F">
      <w:pPr>
        <w:spacing w:before="240" w:after="240" w:line="360" w:lineRule="auto"/>
        <w:jc w:val="both"/>
        <w:rPr>
          <w:rFonts w:ascii="Palatino Linotype" w:hAnsi="Palatino Linotype"/>
        </w:rPr>
      </w:pPr>
      <w:r w:rsidRPr="004E0BB3">
        <w:rPr>
          <w:rFonts w:ascii="Palatino Linotype" w:hAnsi="Palatino Linotype"/>
        </w:rPr>
        <w:t xml:space="preserve">En seguida la parte recurrente se inconforma de manera general mencionado que el Sujeto Obligado </w:t>
      </w:r>
      <w:r w:rsidR="00DF2FA3" w:rsidRPr="004E0BB3">
        <w:rPr>
          <w:rFonts w:ascii="Palatino Linotype" w:hAnsi="Palatino Linotype"/>
        </w:rPr>
        <w:t xml:space="preserve">debe proporcionarle la </w:t>
      </w:r>
      <w:r w:rsidR="004E0BB3" w:rsidRPr="004E0BB3">
        <w:rPr>
          <w:rFonts w:ascii="Palatino Linotype" w:hAnsi="Palatino Linotype"/>
        </w:rPr>
        <w:t>información</w:t>
      </w:r>
      <w:r w:rsidR="00DF2FA3" w:rsidRPr="004E0BB3">
        <w:rPr>
          <w:rFonts w:ascii="Palatino Linotype" w:hAnsi="Palatino Linotype"/>
        </w:rPr>
        <w:t xml:space="preserve"> solicitada por un periodo </w:t>
      </w:r>
      <w:r w:rsidR="004E0BB3" w:rsidRPr="004E0BB3">
        <w:rPr>
          <w:rFonts w:ascii="Palatino Linotype" w:hAnsi="Palatino Linotype"/>
        </w:rPr>
        <w:t xml:space="preserve">determinado </w:t>
      </w:r>
      <w:r w:rsidR="00DF2FA3" w:rsidRPr="004E0BB3">
        <w:rPr>
          <w:rFonts w:ascii="Palatino Linotype" w:hAnsi="Palatino Linotype"/>
        </w:rPr>
        <w:t>que se solicita.</w:t>
      </w:r>
    </w:p>
    <w:p w:rsidR="0012248A" w:rsidRPr="004E0BB3" w:rsidRDefault="00DF2FA3" w:rsidP="004E0BB3">
      <w:pPr>
        <w:spacing w:before="240" w:after="240" w:line="360" w:lineRule="auto"/>
        <w:jc w:val="both"/>
        <w:rPr>
          <w:rFonts w:ascii="Palatino Linotype" w:hAnsi="Palatino Linotype"/>
        </w:rPr>
      </w:pPr>
      <w:r w:rsidRPr="004E0BB3">
        <w:rPr>
          <w:rFonts w:ascii="Palatino Linotype" w:hAnsi="Palatino Linotype"/>
        </w:rPr>
        <w:t>Posteriormente en la etapa de instrucción, el Sujeto Obligado fue omiso en rendir manifestación alguna, mientras que la parte recurrente emitió sus manifestaciones argumentando de manera general que la información requerida es información pública de oficio y que al no estar publicada el Sujeto Obligado incumplía sus obligaciones de transparencia.</w:t>
      </w:r>
    </w:p>
    <w:p w:rsidR="00BE581A" w:rsidRDefault="00BD7632" w:rsidP="00200F70">
      <w:pPr>
        <w:spacing w:line="360" w:lineRule="auto"/>
        <w:jc w:val="both"/>
        <w:rPr>
          <w:rFonts w:ascii="Palatino Linotype" w:eastAsia="Times New Roman" w:hAnsi="Palatino Linotype" w:cs="Tahoma"/>
          <w:lang w:eastAsia="es-ES"/>
        </w:rPr>
      </w:pPr>
      <w:r w:rsidRPr="00837F1F">
        <w:rPr>
          <w:rFonts w:ascii="Palatino Linotype" w:eastAsia="Times New Roman" w:hAnsi="Palatino Linotype" w:cs="Tahoma"/>
          <w:lang w:eastAsia="es-ES"/>
        </w:rPr>
        <w:t xml:space="preserve">No obstante lo </w:t>
      </w:r>
      <w:r w:rsidR="00067471" w:rsidRPr="00837F1F">
        <w:rPr>
          <w:rFonts w:ascii="Palatino Linotype" w:eastAsia="Times New Roman" w:hAnsi="Palatino Linotype" w:cs="Tahoma"/>
          <w:lang w:eastAsia="es-ES"/>
        </w:rPr>
        <w:t xml:space="preserve">anterior, </w:t>
      </w:r>
      <w:r w:rsidRPr="00837F1F">
        <w:rPr>
          <w:rFonts w:ascii="Palatino Linotype" w:eastAsia="Times New Roman" w:hAnsi="Palatino Linotype" w:cs="Tahoma"/>
          <w:lang w:eastAsia="es-ES"/>
        </w:rPr>
        <w:t>la Ponencia resolutora</w:t>
      </w:r>
      <w:r w:rsidR="002128D6" w:rsidRPr="00837F1F">
        <w:rPr>
          <w:rFonts w:ascii="Palatino Linotype" w:eastAsia="Times New Roman" w:hAnsi="Palatino Linotype" w:cs="Tahoma"/>
          <w:lang w:eastAsia="es-ES"/>
        </w:rPr>
        <w:t xml:space="preserve"> determin</w:t>
      </w:r>
      <w:r w:rsidR="00372AD0">
        <w:rPr>
          <w:rFonts w:ascii="Palatino Linotype" w:eastAsia="Times New Roman" w:hAnsi="Palatino Linotype" w:cs="Tahoma"/>
          <w:lang w:eastAsia="es-ES"/>
        </w:rPr>
        <w:t>ó</w:t>
      </w:r>
      <w:r w:rsidR="002128D6" w:rsidRPr="00837F1F">
        <w:rPr>
          <w:rFonts w:ascii="Palatino Linotype" w:eastAsia="Times New Roman" w:hAnsi="Palatino Linotype" w:cs="Tahoma"/>
          <w:lang w:eastAsia="es-ES"/>
        </w:rPr>
        <w:t xml:space="preserve"> la entrega de la información en </w:t>
      </w:r>
      <w:r w:rsidR="002128D6" w:rsidRPr="00837F1F">
        <w:rPr>
          <w:rFonts w:ascii="Palatino Linotype" w:eastAsia="Times New Roman" w:hAnsi="Palatino Linotype" w:cs="Tahoma"/>
          <w:b/>
          <w:i/>
          <w:lang w:eastAsia="es-ES"/>
        </w:rPr>
        <w:t>“consulta directa”</w:t>
      </w:r>
      <w:r w:rsidR="004E0BB3">
        <w:rPr>
          <w:rFonts w:ascii="Palatino Linotype" w:eastAsia="Times New Roman" w:hAnsi="Palatino Linotype" w:cs="Tahoma"/>
          <w:lang w:eastAsia="es-ES"/>
        </w:rPr>
        <w:t>, es decir,</w:t>
      </w:r>
      <w:r w:rsidR="002128D6" w:rsidRPr="00837F1F">
        <w:rPr>
          <w:rFonts w:ascii="Palatino Linotype" w:eastAsia="Times New Roman" w:hAnsi="Palatino Linotype" w:cs="Tahoma"/>
          <w:lang w:eastAsia="es-ES"/>
        </w:rPr>
        <w:t xml:space="preserve"> </w:t>
      </w:r>
      <w:r w:rsidR="00372AD0">
        <w:rPr>
          <w:rFonts w:ascii="Palatino Linotype" w:eastAsia="Times New Roman" w:hAnsi="Palatino Linotype" w:cs="Tahoma"/>
          <w:lang w:eastAsia="es-ES"/>
        </w:rPr>
        <w:t xml:space="preserve">resolvió </w:t>
      </w:r>
      <w:r w:rsidR="00C57109" w:rsidRPr="00837F1F">
        <w:rPr>
          <w:rFonts w:ascii="Palatino Linotype" w:eastAsia="Times New Roman" w:hAnsi="Palatino Linotype" w:cs="Tahoma"/>
          <w:lang w:eastAsia="es-ES"/>
        </w:rPr>
        <w:t xml:space="preserve">el cambio de modalidad de entrega de información solicitada por el particular, quien la requirió a través de su correo electrónico </w:t>
      </w:r>
      <w:r w:rsidR="00BE581A" w:rsidRPr="00837F1F">
        <w:rPr>
          <w:rFonts w:ascii="Palatino Linotype" w:eastAsia="Times New Roman" w:hAnsi="Palatino Linotype" w:cs="Tahoma"/>
          <w:lang w:eastAsia="es-ES"/>
        </w:rPr>
        <w:t xml:space="preserve">personal. </w:t>
      </w:r>
    </w:p>
    <w:p w:rsidR="008E5891" w:rsidRDefault="00BF13CB"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t>En ese tenor</w:t>
      </w:r>
      <w:r w:rsidR="009E51BB">
        <w:rPr>
          <w:rFonts w:ascii="Palatino Linotype" w:eastAsia="Times New Roman" w:hAnsi="Palatino Linotype" w:cs="Tahoma"/>
          <w:lang w:eastAsia="es-ES"/>
        </w:rPr>
        <w:t xml:space="preserve">, </w:t>
      </w:r>
      <w:r>
        <w:rPr>
          <w:rFonts w:ascii="Palatino Linotype" w:eastAsia="Times New Roman" w:hAnsi="Palatino Linotype" w:cs="Tahoma"/>
          <w:lang w:eastAsia="es-ES"/>
        </w:rPr>
        <w:t xml:space="preserve">se debió atender lo dispuesto </w:t>
      </w:r>
      <w:r w:rsidR="009E51BB">
        <w:rPr>
          <w:rFonts w:ascii="Palatino Linotype" w:eastAsia="Times New Roman" w:hAnsi="Palatino Linotype" w:cs="Tahoma"/>
          <w:lang w:eastAsia="es-ES"/>
        </w:rPr>
        <w:t xml:space="preserve">en </w:t>
      </w:r>
      <w:r>
        <w:rPr>
          <w:rFonts w:ascii="Palatino Linotype" w:eastAsia="Times New Roman" w:hAnsi="Palatino Linotype" w:cs="Tahoma"/>
          <w:lang w:eastAsia="es-ES"/>
        </w:rPr>
        <w:t xml:space="preserve">el artículo 164 de </w:t>
      </w:r>
      <w:r w:rsidRPr="00837F1F">
        <w:rPr>
          <w:rFonts w:ascii="Palatino Linotype" w:eastAsia="Times New Roman" w:hAnsi="Palatino Linotype" w:cs="Tahoma"/>
          <w:lang w:eastAsia="es-ES"/>
        </w:rPr>
        <w:t>nuestra Ley de Transparencia y Acceso a la Información Pública</w:t>
      </w:r>
      <w:r>
        <w:rPr>
          <w:rFonts w:ascii="Palatino Linotype" w:eastAsia="Times New Roman" w:hAnsi="Palatino Linotype" w:cs="Tahoma"/>
          <w:lang w:eastAsia="es-ES"/>
        </w:rPr>
        <w:t>, el cual dispone que el acceso se dará en la modalidad de entrega y, en su caso, de envío elegidos por el solicitante</w:t>
      </w:r>
      <w:r w:rsidR="008E5891">
        <w:rPr>
          <w:rFonts w:ascii="Palatino Linotype" w:eastAsia="Times New Roman" w:hAnsi="Palatino Linotype" w:cs="Tahoma"/>
          <w:lang w:eastAsia="es-ES"/>
        </w:rPr>
        <w:t xml:space="preserve">, sin </w:t>
      </w:r>
      <w:r w:rsidR="009E51BB">
        <w:rPr>
          <w:rFonts w:ascii="Palatino Linotype" w:eastAsia="Times New Roman" w:hAnsi="Palatino Linotype" w:cs="Tahoma"/>
          <w:lang w:eastAsia="es-ES"/>
        </w:rPr>
        <w:t>embar</w:t>
      </w:r>
      <w:r w:rsidR="008E5891">
        <w:rPr>
          <w:rFonts w:ascii="Palatino Linotype" w:eastAsia="Times New Roman" w:hAnsi="Palatino Linotype" w:cs="Tahoma"/>
          <w:lang w:eastAsia="es-ES"/>
        </w:rPr>
        <w:t>go, cuando la información no pueda entregarse o enviarse en la modalidad solicitada, el Sujeto Obligado deberá ofrecer otra u otras modalidades de entrega</w:t>
      </w:r>
      <w:r w:rsidR="009E51BB">
        <w:rPr>
          <w:rFonts w:ascii="Palatino Linotype" w:eastAsia="Times New Roman" w:hAnsi="Palatino Linotype" w:cs="Tahoma"/>
          <w:lang w:eastAsia="es-ES"/>
        </w:rPr>
        <w:t>, de manera motivada y fundada</w:t>
      </w:r>
      <w:r>
        <w:rPr>
          <w:rFonts w:ascii="Palatino Linotype" w:eastAsia="Times New Roman" w:hAnsi="Palatino Linotype" w:cs="Tahoma"/>
          <w:lang w:eastAsia="es-ES"/>
        </w:rPr>
        <w:t>.</w:t>
      </w:r>
    </w:p>
    <w:p w:rsidR="008E5891" w:rsidRDefault="008E5891"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t xml:space="preserve">Discernimiento que encuentra apoyo en lo dispuesto en el Criterio 08/17, emitido por el INAI, cuyo rubro y texto disponen: </w:t>
      </w:r>
    </w:p>
    <w:p w:rsidR="009646BA" w:rsidRPr="004E0BB3" w:rsidRDefault="009646BA" w:rsidP="009646BA">
      <w:pPr>
        <w:spacing w:after="0" w:line="240" w:lineRule="auto"/>
        <w:ind w:left="567" w:right="618"/>
        <w:jc w:val="both"/>
        <w:rPr>
          <w:rFonts w:ascii="Palatino Linotype" w:hAnsi="Palatino Linotype"/>
          <w:i/>
          <w:sz w:val="20"/>
        </w:rPr>
      </w:pPr>
      <w:r w:rsidRPr="004E0BB3">
        <w:rPr>
          <w:rFonts w:ascii="Palatino Linotype" w:hAnsi="Palatino Linotype"/>
          <w:i/>
          <w:sz w:val="20"/>
        </w:rPr>
        <w:t>“</w:t>
      </w:r>
      <w:r w:rsidRPr="004E0BB3">
        <w:rPr>
          <w:rFonts w:ascii="Palatino Linotype" w:hAnsi="Palatino Linotype"/>
          <w:b/>
          <w:i/>
          <w:sz w:val="20"/>
        </w:rPr>
        <w:t>Modalidad de entrega. Procedencia de proporcionar la información solicitada en una diversa a la elegida por el solicitante.</w:t>
      </w:r>
      <w:r w:rsidRPr="004E0BB3">
        <w:rPr>
          <w:rFonts w:ascii="Palatino Linotype" w:hAnsi="Palatino Linotype"/>
          <w:i/>
          <w:sz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w:t>
      </w:r>
      <w:r w:rsidR="004E0BB3">
        <w:rPr>
          <w:rFonts w:ascii="Palatino Linotype" w:hAnsi="Palatino Linotype"/>
          <w:i/>
          <w:sz w:val="20"/>
        </w:rPr>
        <w:t>momento, los costos de entrega.”</w:t>
      </w:r>
    </w:p>
    <w:p w:rsidR="009646BA" w:rsidRPr="004E0BB3" w:rsidRDefault="009646BA" w:rsidP="009646BA">
      <w:pPr>
        <w:spacing w:after="0" w:line="240" w:lineRule="auto"/>
        <w:ind w:right="618"/>
        <w:jc w:val="both"/>
        <w:rPr>
          <w:rFonts w:ascii="Palatino Linotype" w:hAnsi="Palatino Linotype"/>
          <w:i/>
          <w:sz w:val="20"/>
        </w:rPr>
      </w:pPr>
    </w:p>
    <w:p w:rsidR="002F7CD0" w:rsidRDefault="00BE581A" w:rsidP="009646BA">
      <w:pPr>
        <w:spacing w:after="0" w:line="360" w:lineRule="auto"/>
        <w:ind w:right="49"/>
        <w:jc w:val="both"/>
        <w:rPr>
          <w:rFonts w:ascii="Palatino Linotype" w:eastAsia="Times New Roman" w:hAnsi="Palatino Linotype" w:cs="Tahoma"/>
          <w:lang w:eastAsia="es-ES"/>
        </w:rPr>
      </w:pPr>
      <w:r w:rsidRPr="00837F1F">
        <w:rPr>
          <w:rFonts w:ascii="Palatino Linotype" w:eastAsia="Times New Roman" w:hAnsi="Palatino Linotype" w:cs="Tahoma"/>
          <w:lang w:eastAsia="es-ES"/>
        </w:rPr>
        <w:t>A</w:t>
      </w:r>
      <w:r w:rsidR="009646BA">
        <w:rPr>
          <w:rFonts w:ascii="Palatino Linotype" w:eastAsia="Times New Roman" w:hAnsi="Palatino Linotype" w:cs="Tahoma"/>
          <w:lang w:eastAsia="es-ES"/>
        </w:rPr>
        <w:t xml:space="preserve">hora bien, para el cambio de modalidad a “consulta directa”, </w:t>
      </w:r>
      <w:r w:rsidRPr="00837F1F">
        <w:rPr>
          <w:rFonts w:ascii="Palatino Linotype" w:eastAsia="Times New Roman" w:hAnsi="Palatino Linotype" w:cs="Tahoma"/>
          <w:lang w:eastAsia="es-ES"/>
        </w:rPr>
        <w:t>es pertinente mencionar que conforme a lo dispuesto en el artículo 158 de</w:t>
      </w:r>
      <w:r w:rsidR="00A52773">
        <w:rPr>
          <w:rFonts w:ascii="Palatino Linotype" w:eastAsia="Times New Roman" w:hAnsi="Palatino Linotype" w:cs="Tahoma"/>
          <w:lang w:eastAsia="es-ES"/>
        </w:rPr>
        <w:t xml:space="preserve"> la Ley de Transparencia supraindicada</w:t>
      </w:r>
      <w:r w:rsidR="006177F1" w:rsidRPr="00837F1F">
        <w:rPr>
          <w:rFonts w:ascii="Palatino Linotype" w:eastAsia="Times New Roman" w:hAnsi="Palatino Linotype" w:cs="Tahoma"/>
          <w:lang w:eastAsia="es-ES"/>
        </w:rPr>
        <w:t>,</w:t>
      </w:r>
      <w:r w:rsidR="006177F1">
        <w:rPr>
          <w:rFonts w:ascii="Palatino Linotype" w:eastAsia="Times New Roman" w:hAnsi="Palatino Linotype" w:cs="Tahoma"/>
          <w:lang w:eastAsia="es-ES"/>
        </w:rPr>
        <w:t xml:space="preserve"> </w:t>
      </w:r>
      <w:r>
        <w:rPr>
          <w:rFonts w:ascii="Palatino Linotype" w:eastAsia="Times New Roman" w:hAnsi="Palatino Linotype" w:cs="Tahoma"/>
          <w:lang w:eastAsia="es-ES"/>
        </w:rPr>
        <w:t>corresponde a los Sujetos Obligados</w:t>
      </w:r>
      <w:r w:rsidR="006177F1">
        <w:rPr>
          <w:rFonts w:ascii="Palatino Linotype" w:eastAsia="Times New Roman" w:hAnsi="Palatino Linotype" w:cs="Tahoma"/>
          <w:lang w:eastAsia="es-ES"/>
        </w:rPr>
        <w:t>, de manera excepcional, poner a disposición de</w:t>
      </w:r>
      <w:r w:rsidR="00C73C77">
        <w:rPr>
          <w:rFonts w:ascii="Palatino Linotype" w:eastAsia="Times New Roman" w:hAnsi="Palatino Linotype" w:cs="Tahoma"/>
          <w:lang w:eastAsia="es-ES"/>
        </w:rPr>
        <w:t xml:space="preserve"> </w:t>
      </w:r>
      <w:r w:rsidR="006177F1">
        <w:rPr>
          <w:rFonts w:ascii="Palatino Linotype" w:eastAsia="Times New Roman" w:hAnsi="Palatino Linotype" w:cs="Tahoma"/>
          <w:lang w:eastAsia="es-ES"/>
        </w:rPr>
        <w:t>l</w:t>
      </w:r>
      <w:r w:rsidR="00C73C77">
        <w:rPr>
          <w:rFonts w:ascii="Palatino Linotype" w:eastAsia="Times New Roman" w:hAnsi="Palatino Linotype" w:cs="Tahoma"/>
          <w:lang w:eastAsia="es-ES"/>
        </w:rPr>
        <w:t xml:space="preserve">os </w:t>
      </w:r>
      <w:r w:rsidR="006177F1">
        <w:rPr>
          <w:rFonts w:ascii="Palatino Linotype" w:eastAsia="Times New Roman" w:hAnsi="Palatino Linotype" w:cs="Tahoma"/>
          <w:lang w:eastAsia="es-ES"/>
        </w:rPr>
        <w:t>solicitante</w:t>
      </w:r>
      <w:r w:rsidR="00C73C77">
        <w:rPr>
          <w:rFonts w:ascii="Palatino Linotype" w:eastAsia="Times New Roman" w:hAnsi="Palatino Linotype" w:cs="Tahoma"/>
          <w:lang w:eastAsia="es-ES"/>
        </w:rPr>
        <w:t>s</w:t>
      </w:r>
      <w:r w:rsidR="006177F1">
        <w:rPr>
          <w:rFonts w:ascii="Palatino Linotype" w:eastAsia="Times New Roman" w:hAnsi="Palatino Linotype" w:cs="Tahoma"/>
          <w:lang w:eastAsia="es-ES"/>
        </w:rPr>
        <w:t xml:space="preserve"> la información peticionada en consulta directa, siempre y cuando funde</w:t>
      </w:r>
      <w:r w:rsidR="00913167">
        <w:rPr>
          <w:rFonts w:ascii="Palatino Linotype" w:eastAsia="Times New Roman" w:hAnsi="Palatino Linotype" w:cs="Tahoma"/>
          <w:lang w:eastAsia="es-ES"/>
        </w:rPr>
        <w:t>n</w:t>
      </w:r>
      <w:r w:rsidR="006177F1">
        <w:rPr>
          <w:rFonts w:ascii="Palatino Linotype" w:eastAsia="Times New Roman" w:hAnsi="Palatino Linotype" w:cs="Tahoma"/>
          <w:lang w:eastAsia="es-ES"/>
        </w:rPr>
        <w:t xml:space="preserve"> y motive</w:t>
      </w:r>
      <w:r w:rsidR="00913167">
        <w:rPr>
          <w:rFonts w:ascii="Palatino Linotype" w:eastAsia="Times New Roman" w:hAnsi="Palatino Linotype" w:cs="Tahoma"/>
          <w:lang w:eastAsia="es-ES"/>
        </w:rPr>
        <w:t>n</w:t>
      </w:r>
      <w:r w:rsidR="006177F1">
        <w:rPr>
          <w:rFonts w:ascii="Palatino Linotype" w:eastAsia="Times New Roman" w:hAnsi="Palatino Linotype" w:cs="Tahoma"/>
          <w:lang w:eastAsia="es-ES"/>
        </w:rPr>
        <w:t xml:space="preserve"> su determinación, ya sea porque implique su an</w:t>
      </w:r>
      <w:r w:rsidR="002F7CD0">
        <w:rPr>
          <w:rFonts w:ascii="Palatino Linotype" w:eastAsia="Times New Roman" w:hAnsi="Palatino Linotype" w:cs="Tahoma"/>
          <w:lang w:eastAsia="es-ES"/>
        </w:rPr>
        <w:t xml:space="preserve">álisis, estudio o procesamiento de documentos cuya entrega o reproducción sobrepase las capacidades técnicas administrativas y humanas del Sujeto Obligado. </w:t>
      </w:r>
    </w:p>
    <w:p w:rsidR="009646BA" w:rsidRPr="0016389A" w:rsidRDefault="009646BA" w:rsidP="0016389A">
      <w:pPr>
        <w:spacing w:after="0" w:line="240" w:lineRule="auto"/>
        <w:ind w:right="49"/>
        <w:jc w:val="both"/>
        <w:rPr>
          <w:rFonts w:ascii="Palatino Linotype" w:eastAsia="Times New Roman" w:hAnsi="Palatino Linotype" w:cs="Tahoma"/>
          <w:i/>
          <w:sz w:val="16"/>
          <w:szCs w:val="16"/>
          <w:lang w:eastAsia="es-ES"/>
        </w:rPr>
      </w:pPr>
    </w:p>
    <w:p w:rsidR="002F7CD0" w:rsidRDefault="00A03B31" w:rsidP="00200F70">
      <w:pPr>
        <w:spacing w:line="360" w:lineRule="auto"/>
        <w:jc w:val="both"/>
        <w:rPr>
          <w:rFonts w:ascii="Palatino Linotype" w:eastAsia="Times New Roman" w:hAnsi="Palatino Linotype" w:cs="Tahoma"/>
          <w:lang w:eastAsia="es-ES"/>
        </w:rPr>
      </w:pPr>
      <w:r w:rsidRPr="00AF6ED9">
        <w:rPr>
          <w:rFonts w:ascii="Palatino Linotype" w:eastAsia="Times New Roman" w:hAnsi="Palatino Linotype" w:cs="Tahoma"/>
          <w:lang w:eastAsia="es-ES"/>
        </w:rPr>
        <w:t xml:space="preserve">Adicional a lo anterior, se </w:t>
      </w:r>
      <w:r w:rsidR="00AD71C4" w:rsidRPr="00AF6ED9">
        <w:rPr>
          <w:rFonts w:ascii="Palatino Linotype" w:eastAsia="Times New Roman" w:hAnsi="Palatino Linotype" w:cs="Tahoma"/>
          <w:lang w:eastAsia="es-ES"/>
        </w:rPr>
        <w:t>deberán acreditar</w:t>
      </w:r>
      <w:r w:rsidRPr="00AF6ED9">
        <w:rPr>
          <w:rFonts w:ascii="Palatino Linotype" w:eastAsia="Times New Roman" w:hAnsi="Palatino Linotype" w:cs="Tahoma"/>
          <w:lang w:eastAsia="es-ES"/>
        </w:rPr>
        <w:t xml:space="preserve"> lo dispuesto en el numeral Cincuenta y Cuatro de los </w:t>
      </w:r>
      <w:r w:rsidR="00AF6ED9" w:rsidRPr="00AF6ED9">
        <w:rPr>
          <w:rFonts w:ascii="Palatino Linotype" w:eastAsia="Times New Roman" w:hAnsi="Palatino Linotype" w:cs="Arial"/>
          <w:lang w:val="es-ES" w:eastAsia="es-ES"/>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00AF6ED9" w:rsidRPr="00AF6ED9">
        <w:rPr>
          <w:rStyle w:val="Refdenotaalpie"/>
          <w:rFonts w:ascii="Palatino Linotype" w:eastAsia="Times New Roman" w:hAnsi="Palatino Linotype" w:cs="Arial"/>
          <w:lang w:val="es-ES" w:eastAsia="es-ES"/>
        </w:rPr>
        <w:footnoteReference w:id="1"/>
      </w:r>
      <w:r w:rsidRPr="00AF6ED9">
        <w:rPr>
          <w:rFonts w:ascii="Palatino Linotype" w:eastAsia="Times New Roman" w:hAnsi="Palatino Linotype" w:cs="Tahoma"/>
          <w:lang w:eastAsia="es-ES"/>
        </w:rPr>
        <w:t xml:space="preserve"> </w:t>
      </w:r>
      <w:r w:rsidR="00AD71C4" w:rsidRPr="00AF6ED9">
        <w:rPr>
          <w:rFonts w:ascii="Palatino Linotype" w:eastAsia="Times New Roman" w:hAnsi="Palatino Linotype" w:cs="Tahoma"/>
          <w:lang w:eastAsia="es-ES"/>
        </w:rPr>
        <w:t xml:space="preserve"> </w:t>
      </w:r>
      <w:r w:rsidR="00AF6ED9" w:rsidRPr="00AF6ED9">
        <w:rPr>
          <w:rFonts w:ascii="Palatino Linotype" w:eastAsia="Times New Roman" w:hAnsi="Palatino Linotype" w:cs="Tahoma"/>
          <w:lang w:eastAsia="es-ES"/>
        </w:rPr>
        <w:t>que a la letra dispone:</w:t>
      </w: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lang w:val="es-ES" w:eastAsia="es-ES"/>
        </w:rPr>
      </w:pPr>
      <w:r w:rsidRPr="00720A92">
        <w:rPr>
          <w:rFonts w:ascii="Palatino Linotype" w:eastAsia="Times New Roman" w:hAnsi="Palatino Linotype" w:cs="Arial"/>
          <w:b/>
          <w:bCs/>
          <w:i/>
          <w:noProof/>
          <w:sz w:val="20"/>
          <w:lang w:val="es-ES" w:eastAsia="es-ES"/>
        </w:rPr>
        <w:t>“CINCUENTA Y CUATRO.-</w:t>
      </w:r>
      <w:r w:rsidRPr="00720A92">
        <w:rPr>
          <w:rFonts w:ascii="Palatino Linotype" w:eastAsia="Times New Roman" w:hAnsi="Palatino Linotype" w:cs="Arial"/>
          <w:bCs/>
          <w:i/>
          <w:noProof/>
          <w:sz w:val="20"/>
          <w:lang w:val="es-ES" w:eastAsia="es-ES"/>
        </w:rPr>
        <w:t xml:space="preserve"> De acuerdo a lo dispuesto por el párrafo segundo del artículo 48 de la Ley, la información podrá ser entregada vía electrónica a través del SICOSIEM. </w:t>
      </w:r>
    </w:p>
    <w:p w:rsidR="00AF6ED9" w:rsidRPr="00720A92" w:rsidRDefault="00AF6ED9" w:rsidP="007B409F">
      <w:pPr>
        <w:spacing w:after="0" w:line="240" w:lineRule="auto"/>
        <w:ind w:left="567" w:right="616"/>
        <w:jc w:val="both"/>
        <w:rPr>
          <w:rFonts w:ascii="Palatino Linotype" w:eastAsia="Times New Roman" w:hAnsi="Palatino Linotype" w:cs="Arial"/>
          <w:b/>
          <w:bCs/>
          <w:i/>
          <w:noProof/>
          <w:sz w:val="20"/>
          <w:u w:val="single"/>
          <w:lang w:val="es-ES" w:eastAsia="es-ES"/>
        </w:rPr>
      </w:pP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lang w:val="es-ES" w:eastAsia="es-ES"/>
        </w:rPr>
      </w:pPr>
      <w:r w:rsidRPr="00720A92">
        <w:rPr>
          <w:rFonts w:ascii="Palatino Linotype" w:eastAsia="Times New Roman" w:hAnsi="Palatino Linotype" w:cs="Arial"/>
          <w:bCs/>
          <w:i/>
          <w:noProof/>
          <w:sz w:val="20"/>
          <w:lang w:val="es-ES" w:eastAsia="es-ES"/>
        </w:rPr>
        <w:t>Es obligación del responsable de la Unidad de Información verificar que los archivos electrónicos que contengan la información entregada, se encuentra agregada al SICOSIEM.</w:t>
      </w: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u w:val="single"/>
          <w:lang w:val="es-ES" w:eastAsia="es-ES"/>
        </w:rPr>
      </w:pP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lang w:val="es-ES" w:eastAsia="es-ES"/>
        </w:rPr>
      </w:pPr>
      <w:r w:rsidRPr="00720A92">
        <w:rPr>
          <w:rFonts w:ascii="Palatino Linotype" w:eastAsia="Times New Roman" w:hAnsi="Palatino Linotype" w:cs="Arial"/>
          <w:bCs/>
          <w:i/>
          <w:noProof/>
          <w:sz w:val="20"/>
          <w:u w:val="single"/>
          <w:lang w:val="es-ES" w:eastAsia="es-ES"/>
        </w:rPr>
        <w:t>En caso de que el responsable de la Unidad de Información no pueda agregar al SICOSIEM los archivos electrónicos que contengan la información por motivos técnicos, debe avisar de inmediato al Instituto, a través del correo electrónico institucional</w:t>
      </w:r>
      <w:r w:rsidRPr="00720A92">
        <w:rPr>
          <w:rFonts w:ascii="Palatino Linotype" w:eastAsia="Times New Roman" w:hAnsi="Palatino Linotype" w:cs="Arial"/>
          <w:bCs/>
          <w:i/>
          <w:noProof/>
          <w:sz w:val="20"/>
          <w:lang w:val="es-ES" w:eastAsia="es-ES"/>
        </w:rPr>
        <w:t>, además de comunicarse vía telefónica de inmediato a efecto de que reciba el apoyo técnico correspondiente.</w:t>
      </w: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lang w:val="es-ES" w:eastAsia="es-ES"/>
        </w:rPr>
      </w:pP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lang w:val="es-ES" w:eastAsia="es-ES"/>
        </w:rPr>
      </w:pPr>
      <w:r w:rsidRPr="00720A92">
        <w:rPr>
          <w:rFonts w:ascii="Palatino Linotype" w:eastAsia="Times New Roman" w:hAnsi="Palatino Linotype" w:cs="Arial"/>
          <w:bCs/>
          <w:i/>
          <w:noProof/>
          <w:sz w:val="20"/>
          <w:u w:val="single"/>
          <w:lang w:val="es-ES" w:eastAsia="es-ES"/>
        </w:rPr>
        <w:t>La Dirección de Sistemas e Informática del Instituto, debe llevar un registro de incidencias en el cual se asienten todas las llamas referentes al apoyo técnico para agregar los archivos electrónicos al SICOSIEM</w:t>
      </w:r>
      <w:r w:rsidRPr="00720A92">
        <w:rPr>
          <w:rFonts w:ascii="Palatino Linotype" w:eastAsia="Times New Roman" w:hAnsi="Palatino Linotype" w:cs="Arial"/>
          <w:bCs/>
          <w:i/>
          <w:noProof/>
          <w:sz w:val="20"/>
          <w:lang w:val="es-ES" w:eastAsia="es-ES"/>
        </w:rPr>
        <w:t>.</w:t>
      </w: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u w:val="single"/>
          <w:lang w:val="es-ES" w:eastAsia="es-ES"/>
        </w:rPr>
      </w:pP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u w:val="single"/>
          <w:lang w:val="es-ES" w:eastAsia="es-ES"/>
        </w:rPr>
      </w:pPr>
      <w:r w:rsidRPr="00720A92">
        <w:rPr>
          <w:rFonts w:ascii="Palatino Linotype" w:eastAsia="Times New Roman" w:hAnsi="Palatino Linotype" w:cs="Arial"/>
          <w:bCs/>
          <w:i/>
          <w:noProof/>
          <w:sz w:val="20"/>
          <w:u w:val="single"/>
          <w:lang w:val="es-ES" w:eastAsia="es-ES"/>
        </w:rPr>
        <w:t xml:space="preserve">La omisión por parte del responsable de la Unidad de Información del procedimiento antes descrito presume la negativa de la entrega de la Información. </w:t>
      </w: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u w:val="single"/>
          <w:lang w:val="es-ES" w:eastAsia="es-ES"/>
        </w:rPr>
      </w:pP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lang w:val="es-ES" w:eastAsia="es-ES"/>
        </w:rPr>
      </w:pPr>
      <w:r w:rsidRPr="00720A92">
        <w:rPr>
          <w:rFonts w:ascii="Palatino Linotype" w:eastAsia="Times New Roman" w:hAnsi="Palatino Linotype" w:cs="Arial"/>
          <w:bCs/>
          <w:i/>
          <w:noProof/>
          <w:sz w:val="20"/>
          <w:u w:val="single"/>
          <w:lang w:val="es-ES" w:eastAsia="es-ES"/>
        </w:rPr>
        <w:t>Cuando la información no pueda ser remitida vía electrónica</w:t>
      </w:r>
      <w:r w:rsidRPr="00720A92">
        <w:rPr>
          <w:rFonts w:ascii="Palatino Linotype" w:eastAsia="Times New Roman" w:hAnsi="Palatino Linotype" w:cs="Arial"/>
          <w:bCs/>
          <w:i/>
          <w:noProof/>
          <w:sz w:val="20"/>
          <w:lang w:val="es-ES" w:eastAsia="es-ES"/>
        </w:rPr>
        <w:t xml:space="preserve">, </w:t>
      </w:r>
      <w:r w:rsidRPr="00720A92">
        <w:rPr>
          <w:rFonts w:ascii="Palatino Linotype" w:eastAsia="Times New Roman" w:hAnsi="Palatino Linotype" w:cs="Arial"/>
          <w:bCs/>
          <w:i/>
          <w:noProof/>
          <w:sz w:val="20"/>
          <w:u w:val="single"/>
          <w:lang w:val="es-ES" w:eastAsia="es-ES"/>
        </w:rPr>
        <w:t>se deberá fundar y motivar la resolución respectiva</w:t>
      </w:r>
      <w:r w:rsidRPr="00720A92">
        <w:rPr>
          <w:rFonts w:ascii="Palatino Linotype" w:eastAsia="Times New Roman" w:hAnsi="Palatino Linotype" w:cs="Arial"/>
          <w:bCs/>
          <w:i/>
          <w:noProof/>
          <w:sz w:val="20"/>
          <w:lang w:val="es-ES" w:eastAsia="es-ES"/>
        </w:rPr>
        <w:t xml:space="preserve">, </w:t>
      </w:r>
      <w:r w:rsidRPr="00720A92">
        <w:rPr>
          <w:rFonts w:ascii="Palatino Linotype" w:eastAsia="Times New Roman" w:hAnsi="Palatino Linotype" w:cs="Arial"/>
          <w:bCs/>
          <w:i/>
          <w:noProof/>
          <w:sz w:val="20"/>
          <w:u w:val="single"/>
          <w:lang w:val="es-ES" w:eastAsia="es-ES"/>
        </w:rPr>
        <w:t>explicando en todo momento las causas que impiden el envío de la información de forma electrónica</w:t>
      </w:r>
      <w:r w:rsidRPr="00720A92">
        <w:rPr>
          <w:rFonts w:ascii="Palatino Linotype" w:eastAsia="Times New Roman" w:hAnsi="Palatino Linotype" w:cs="Arial"/>
          <w:bCs/>
          <w:i/>
          <w:noProof/>
          <w:sz w:val="20"/>
          <w:lang w:val="es-ES" w:eastAsia="es-ES"/>
        </w:rPr>
        <w:t>.</w:t>
      </w: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lang w:val="es-ES" w:eastAsia="es-ES"/>
        </w:rPr>
      </w:pP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u w:val="single"/>
          <w:lang w:val="es-ES" w:eastAsia="es-ES"/>
        </w:rPr>
      </w:pPr>
      <w:r w:rsidRPr="00720A92">
        <w:rPr>
          <w:rFonts w:ascii="Palatino Linotype" w:eastAsia="Times New Roman" w:hAnsi="Palatino Linotype" w:cs="Arial"/>
          <w:bCs/>
          <w:i/>
          <w:noProof/>
          <w:sz w:val="20"/>
          <w:u w:val="single"/>
          <w:lang w:val="es-ES" w:eastAsia="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lang w:val="es-ES" w:eastAsia="es-ES"/>
        </w:rPr>
      </w:pPr>
    </w:p>
    <w:p w:rsidR="00AF6ED9" w:rsidRPr="00720A92" w:rsidRDefault="00AF6ED9" w:rsidP="007B409F">
      <w:pPr>
        <w:spacing w:after="0" w:line="240" w:lineRule="auto"/>
        <w:ind w:left="567" w:right="616"/>
        <w:jc w:val="both"/>
        <w:rPr>
          <w:rFonts w:ascii="Palatino Linotype" w:eastAsia="Times New Roman" w:hAnsi="Palatino Linotype" w:cs="Arial"/>
          <w:bCs/>
          <w:i/>
          <w:noProof/>
          <w:sz w:val="20"/>
          <w:lang w:val="es-ES" w:eastAsia="es-ES"/>
        </w:rPr>
      </w:pPr>
      <w:r w:rsidRPr="00720A92">
        <w:rPr>
          <w:rFonts w:ascii="Palatino Linotype" w:eastAsia="Times New Roman" w:hAnsi="Palatino Linotype" w:cs="Arial"/>
          <w:bCs/>
          <w:i/>
          <w:noProof/>
          <w:sz w:val="20"/>
          <w:lang w:val="es-ES" w:eastAsia="es-ES"/>
        </w:rPr>
        <w:t>El formato mencionado deberá estar agregado al expediente electrónico de la solicitud de información pública, en el estatus respectivo.</w:t>
      </w:r>
      <w:r w:rsidRPr="00720A92">
        <w:rPr>
          <w:rFonts w:ascii="Palatino Linotype" w:eastAsia="Times New Roman" w:hAnsi="Palatino Linotype" w:cs="Arial"/>
          <w:b/>
          <w:bCs/>
          <w:i/>
          <w:noProof/>
          <w:sz w:val="20"/>
          <w:lang w:val="es-ES" w:eastAsia="es-ES"/>
        </w:rPr>
        <w:t>”</w:t>
      </w:r>
    </w:p>
    <w:p w:rsidR="00AF6ED9" w:rsidRPr="00720A92" w:rsidRDefault="00AF6ED9" w:rsidP="007B409F">
      <w:pPr>
        <w:spacing w:after="0" w:line="240" w:lineRule="auto"/>
        <w:ind w:left="567" w:right="616"/>
        <w:jc w:val="both"/>
        <w:rPr>
          <w:rFonts w:ascii="Palatino Linotype" w:eastAsia="Times New Roman" w:hAnsi="Palatino Linotype" w:cs="Arial"/>
          <w:bCs/>
          <w:noProof/>
          <w:sz w:val="20"/>
          <w:lang w:val="es-ES" w:eastAsia="es-ES"/>
        </w:rPr>
      </w:pPr>
      <w:r w:rsidRPr="00720A92">
        <w:rPr>
          <w:rFonts w:ascii="Palatino Linotype" w:eastAsia="Times New Roman" w:hAnsi="Palatino Linotype" w:cs="Arial"/>
          <w:bCs/>
          <w:noProof/>
          <w:sz w:val="20"/>
          <w:lang w:val="es-ES" w:eastAsia="es-ES"/>
        </w:rPr>
        <w:t xml:space="preserve">             </w:t>
      </w:r>
    </w:p>
    <w:p w:rsidR="00AF6ED9" w:rsidRPr="002F02E8" w:rsidRDefault="00AF6ED9" w:rsidP="007B409F">
      <w:pPr>
        <w:spacing w:after="0" w:line="240" w:lineRule="auto"/>
        <w:ind w:left="567" w:right="616"/>
        <w:jc w:val="both"/>
        <w:rPr>
          <w:rFonts w:ascii="Palatino Linotype" w:eastAsia="Times New Roman" w:hAnsi="Palatino Linotype" w:cs="Arial"/>
          <w:bCs/>
          <w:noProof/>
          <w:lang w:val="es-ES" w:eastAsia="es-ES"/>
        </w:rPr>
      </w:pPr>
      <w:r w:rsidRPr="002F02E8">
        <w:rPr>
          <w:rFonts w:ascii="Palatino Linotype" w:eastAsia="Times New Roman" w:hAnsi="Palatino Linotype" w:cs="Arial"/>
          <w:bCs/>
          <w:noProof/>
          <w:lang w:val="es-ES" w:eastAsia="es-ES"/>
        </w:rPr>
        <w:t>(Énfasis añadido).</w:t>
      </w:r>
    </w:p>
    <w:p w:rsidR="00837F1F" w:rsidRDefault="00837F1F" w:rsidP="002F02E8">
      <w:pPr>
        <w:spacing w:before="240" w:after="240" w:line="360" w:lineRule="auto"/>
        <w:ind w:right="616"/>
        <w:jc w:val="both"/>
        <w:rPr>
          <w:rFonts w:ascii="Palatino Linotype" w:eastAsia="Times New Roman" w:hAnsi="Palatino Linotype" w:cs="Arial"/>
          <w:lang w:val="es-ES" w:eastAsia="es-ES"/>
        </w:rPr>
      </w:pPr>
      <w:r w:rsidRPr="00837F1F">
        <w:rPr>
          <w:rFonts w:ascii="Palatino Linotype" w:eastAsia="Times New Roman" w:hAnsi="Palatino Linotype" w:cs="Arial"/>
          <w:lang w:val="es-ES" w:eastAsia="es-ES"/>
        </w:rPr>
        <w:t xml:space="preserve">Es así que los Sujetos Obligados deben respetar la forma de entrega de la información elegida por los Recurrentes para la entrega de la información, por lo tanto, si en el caso concreto se eligió a través del correo electrónico personal del peticionario, el titular de la  Unidad de Transparencia debió agregar los archivos electrónicos que contengan la información requerida en </w:t>
      </w:r>
      <w:r w:rsidR="00406F02">
        <w:rPr>
          <w:rFonts w:ascii="Palatino Linotype" w:eastAsia="Times New Roman" w:hAnsi="Palatino Linotype" w:cs="Arial"/>
          <w:lang w:val="es-ES" w:eastAsia="es-ES"/>
        </w:rPr>
        <w:t xml:space="preserve">la citada modalidad </w:t>
      </w:r>
      <w:r w:rsidRPr="00837F1F">
        <w:rPr>
          <w:rFonts w:ascii="Palatino Linotype" w:eastAsia="Times New Roman" w:hAnsi="Palatino Linotype" w:cs="Arial"/>
          <w:lang w:val="es-ES" w:eastAsia="es-ES"/>
        </w:rPr>
        <w:t xml:space="preserve">y sólo en caso de imposibilidad técnica, y previo aviso a este Instituto, puede optar por </w:t>
      </w:r>
      <w:r w:rsidR="007B409F">
        <w:rPr>
          <w:rFonts w:ascii="Palatino Linotype" w:eastAsia="Times New Roman" w:hAnsi="Palatino Linotype" w:cs="Arial"/>
          <w:lang w:val="es-ES" w:eastAsia="es-ES"/>
        </w:rPr>
        <w:t xml:space="preserve">cambiar la modalidad de entrega, lo cual omitió realizar el Sujeto Obligado. </w:t>
      </w:r>
      <w:r w:rsidRPr="00837F1F">
        <w:rPr>
          <w:rFonts w:ascii="Palatino Linotype" w:eastAsia="Times New Roman" w:hAnsi="Palatino Linotype" w:cs="Arial"/>
          <w:lang w:val="es-ES" w:eastAsia="es-ES"/>
        </w:rPr>
        <w:t xml:space="preserve"> </w:t>
      </w:r>
    </w:p>
    <w:p w:rsidR="002E6970" w:rsidRPr="002E6970" w:rsidRDefault="002E6970" w:rsidP="002E6970">
      <w:pPr>
        <w:autoSpaceDE w:val="0"/>
        <w:autoSpaceDN w:val="0"/>
        <w:adjustRightInd w:val="0"/>
        <w:spacing w:after="0" w:line="360" w:lineRule="auto"/>
        <w:ind w:right="-3"/>
        <w:jc w:val="both"/>
        <w:rPr>
          <w:rFonts w:ascii="Palatino Linotype" w:hAnsi="Palatino Linotype" w:cs="Bookman Old Style"/>
        </w:rPr>
      </w:pPr>
      <w:r w:rsidRPr="002E6970">
        <w:rPr>
          <w:rFonts w:ascii="Palatino Linotype" w:hAnsi="Palatino Linotype" w:cs="Bookman Old Style"/>
        </w:rPr>
        <w:t>Adicional a lo expuesto es pertinente atender  lo expuesto en la “Relatoría Especial para la Libertad de Expresión Comisión de Derechos Humanos”</w:t>
      </w:r>
      <w:r w:rsidRPr="00A21954">
        <w:rPr>
          <w:rFonts w:ascii="Palatino Linotype" w:hAnsi="Palatino Linotype" w:cs="Bookman Old Style"/>
          <w:vertAlign w:val="superscript"/>
        </w:rPr>
        <w:footnoteReference w:id="2"/>
      </w:r>
      <w:r w:rsidRPr="002E6970">
        <w:rPr>
          <w:rFonts w:ascii="Palatino Linotype" w:hAnsi="Palatino Linotype" w:cs="Bookman Old Style"/>
        </w:rPr>
        <w:t>, que en su inciso “b”, punto 13 menciona:</w:t>
      </w:r>
    </w:p>
    <w:p w:rsidR="002E6970" w:rsidRPr="00720A92" w:rsidRDefault="002E6970" w:rsidP="002E6970">
      <w:pPr>
        <w:autoSpaceDE w:val="0"/>
        <w:autoSpaceDN w:val="0"/>
        <w:adjustRightInd w:val="0"/>
        <w:spacing w:after="0" w:line="240" w:lineRule="auto"/>
        <w:ind w:left="851" w:right="990"/>
        <w:jc w:val="both"/>
        <w:rPr>
          <w:rFonts w:ascii="Palatino Linotype" w:hAnsi="Palatino Linotype" w:cs="Bookman Old Style"/>
          <w:b/>
          <w:i/>
          <w:sz w:val="20"/>
        </w:rPr>
      </w:pPr>
      <w:r w:rsidRPr="002E6970">
        <w:rPr>
          <w:rFonts w:ascii="Palatino Linotype" w:hAnsi="Palatino Linotype" w:cs="Bookman Old Style"/>
          <w:i/>
        </w:rPr>
        <w:t>‘</w:t>
      </w:r>
      <w:r w:rsidRPr="00720A92">
        <w:rPr>
          <w:rFonts w:ascii="Palatino Linotype" w:hAnsi="Palatino Linotype" w:cs="Bookman Old Style"/>
          <w:b/>
          <w:i/>
          <w:sz w:val="20"/>
        </w:rPr>
        <w:t>b. Carga de la probatoria para el Estado en caso de establecer limitaciones al derecho de acceso a la información</w:t>
      </w:r>
    </w:p>
    <w:p w:rsidR="002E6970" w:rsidRPr="00720A92" w:rsidRDefault="002E6970" w:rsidP="002E6970">
      <w:pPr>
        <w:autoSpaceDE w:val="0"/>
        <w:autoSpaceDN w:val="0"/>
        <w:adjustRightInd w:val="0"/>
        <w:spacing w:after="0" w:line="240" w:lineRule="auto"/>
        <w:ind w:left="851" w:right="990"/>
        <w:jc w:val="both"/>
        <w:rPr>
          <w:rFonts w:ascii="Palatino Linotype" w:hAnsi="Palatino Linotype" w:cs="Bookman Old Style"/>
          <w:b/>
          <w:i/>
          <w:sz w:val="20"/>
        </w:rPr>
      </w:pPr>
    </w:p>
    <w:p w:rsidR="002E6970" w:rsidRPr="00720A92" w:rsidRDefault="002E6970" w:rsidP="00720A92">
      <w:pPr>
        <w:autoSpaceDE w:val="0"/>
        <w:autoSpaceDN w:val="0"/>
        <w:adjustRightInd w:val="0"/>
        <w:spacing w:before="100" w:beforeAutospacing="1" w:after="100" w:afterAutospacing="1" w:line="240" w:lineRule="auto"/>
        <w:ind w:left="851" w:right="990"/>
        <w:jc w:val="both"/>
        <w:rPr>
          <w:rFonts w:ascii="Palatino Linotype" w:hAnsi="Palatino Linotype" w:cs="Bookman Old Style"/>
          <w:i/>
          <w:sz w:val="20"/>
        </w:rPr>
      </w:pPr>
      <w:r w:rsidRPr="00720A92">
        <w:rPr>
          <w:rFonts w:ascii="Palatino Linotype" w:hAnsi="Palatino Linotype" w:cs="Bookman Old Style"/>
          <w:i/>
          <w:sz w:val="20"/>
        </w:rPr>
        <w:t>13. La jurisprudencia de la Corte Inte</w:t>
      </w:r>
      <w:r w:rsidR="00720A92">
        <w:rPr>
          <w:rFonts w:ascii="Palatino Linotype" w:hAnsi="Palatino Linotype" w:cs="Bookman Old Style"/>
          <w:i/>
          <w:sz w:val="20"/>
        </w:rPr>
        <w:t>ramericana ha establecido que e</w:t>
      </w:r>
      <w:r w:rsidRPr="00720A92">
        <w:rPr>
          <w:rFonts w:ascii="Palatino Linotype" w:hAnsi="Palatino Linotype" w:cs="Bookman Old Style"/>
          <w:i/>
          <w:sz w:val="20"/>
        </w:rPr>
        <w:t>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w:t>
      </w:r>
      <w:r w:rsidR="00720A92">
        <w:rPr>
          <w:rFonts w:ascii="Palatino Linotype" w:hAnsi="Palatino Linotype" w:cs="Bookman Old Style"/>
          <w:i/>
          <w:sz w:val="20"/>
        </w:rPr>
        <w:t xml:space="preserve">e generar seguridad jurídica en </w:t>
      </w:r>
      <w:r w:rsidRPr="00720A92">
        <w:rPr>
          <w:rFonts w:ascii="Palatino Linotype" w:hAnsi="Palatino Linotype" w:cs="Bookman Old Style"/>
          <w:i/>
          <w:sz w:val="20"/>
        </w:rPr>
        <w:t>e</w:t>
      </w:r>
      <w:r w:rsidR="00720A92">
        <w:rPr>
          <w:rFonts w:ascii="Palatino Linotype" w:hAnsi="Palatino Linotype" w:cs="Bookman Old Style"/>
          <w:i/>
          <w:sz w:val="20"/>
        </w:rPr>
        <w:t>l</w:t>
      </w:r>
      <w:r w:rsidRPr="00720A92">
        <w:rPr>
          <w:rFonts w:ascii="Palatino Linotype" w:hAnsi="Palatino Linotype" w:cs="Bookman Old Style"/>
          <w:i/>
          <w:sz w:val="20"/>
        </w:rPr>
        <w:t xml:space="preserve"> ejercicio del derecho de acceso a la información, pues, al estar la información en control del Estado debe evitarse al máximo la actuación discrecional y arbitraje del mismo en el establecimiento de las</w:t>
      </w:r>
      <w:r w:rsidR="00720A92">
        <w:rPr>
          <w:rFonts w:ascii="Palatino Linotype" w:hAnsi="Palatino Linotype" w:cs="Bookman Old Style"/>
          <w:i/>
          <w:sz w:val="20"/>
        </w:rPr>
        <w:t xml:space="preserve"> restricciones al derecho’</w:t>
      </w:r>
    </w:p>
    <w:p w:rsidR="004B548A" w:rsidRPr="001033CC" w:rsidRDefault="002E6970" w:rsidP="001033CC">
      <w:pPr>
        <w:autoSpaceDE w:val="0"/>
        <w:autoSpaceDN w:val="0"/>
        <w:adjustRightInd w:val="0"/>
        <w:spacing w:before="100" w:beforeAutospacing="1" w:after="100" w:afterAutospacing="1" w:line="360" w:lineRule="auto"/>
        <w:ind w:right="-3"/>
        <w:jc w:val="both"/>
        <w:rPr>
          <w:rFonts w:ascii="Palatino Linotype" w:hAnsi="Palatino Linotype" w:cs="Bookman Old Style"/>
        </w:rPr>
      </w:pPr>
      <w:r w:rsidRPr="002E6970">
        <w:rPr>
          <w:rFonts w:ascii="Palatino Linotype" w:hAnsi="Palatino Linotype" w:cs="Bookman Old Style"/>
        </w:rPr>
        <w:t xml:space="preserve">Lo anterior, robustece que es el Sujeto Obligado, </w:t>
      </w:r>
      <w:r w:rsidRPr="00A21954">
        <w:rPr>
          <w:rFonts w:ascii="Palatino Linotype" w:hAnsi="Palatino Linotype" w:cs="Bookman Old Style"/>
        </w:rPr>
        <w:t xml:space="preserve">a quien le fue solicitada la información materia de estudio, quien en todo caso debe demostrar el cambio de modalidad de acceso a la misma, otorgando con ello la debida seguridad jurídica </w:t>
      </w:r>
      <w:r w:rsidR="00720A92">
        <w:rPr>
          <w:rFonts w:ascii="Palatino Linotype" w:hAnsi="Palatino Linotype" w:cs="Bookman Old Style"/>
        </w:rPr>
        <w:t>a todos los ciudadanos</w:t>
      </w:r>
      <w:r w:rsidRPr="00A21954">
        <w:rPr>
          <w:rFonts w:ascii="Palatino Linotype" w:hAnsi="Palatino Linotype" w:cs="Bookman Old Style"/>
        </w:rPr>
        <w:t xml:space="preserve"> y con ello la garantía del derecho humano de acceso a la información pública </w:t>
      </w:r>
      <w:r w:rsidR="00720A92">
        <w:rPr>
          <w:rFonts w:ascii="Palatino Linotype" w:hAnsi="Palatino Linotype" w:cs="Bookman Old Style"/>
        </w:rPr>
        <w:t>del ahora recurren</w:t>
      </w:r>
      <w:r w:rsidR="001033CC">
        <w:rPr>
          <w:rFonts w:ascii="Palatino Linotype" w:hAnsi="Palatino Linotype" w:cs="Bookman Old Style"/>
        </w:rPr>
        <w:t>te</w:t>
      </w:r>
      <w:r w:rsidR="00720A92">
        <w:rPr>
          <w:rFonts w:ascii="Palatino Linotype" w:hAnsi="Palatino Linotype" w:cs="Bookman Old Style"/>
        </w:rPr>
        <w:t>.</w:t>
      </w:r>
    </w:p>
    <w:p w:rsidR="00056BA4" w:rsidRDefault="001860B8" w:rsidP="00DF2FA3">
      <w:pPr>
        <w:spacing w:line="360" w:lineRule="auto"/>
        <w:ind w:right="-93"/>
        <w:jc w:val="both"/>
        <w:rPr>
          <w:rFonts w:ascii="Palatino Linotype" w:hAnsi="Palatino Linotype"/>
        </w:rPr>
      </w:pPr>
      <w:r w:rsidRPr="005D3F2D">
        <w:rPr>
          <w:rFonts w:ascii="Palatino Linotype" w:hAnsi="Palatino Linotype"/>
        </w:rPr>
        <w:t>Lo anterior, son razones suficientes para la emisión y presentación del presen</w:t>
      </w:r>
      <w:r w:rsidR="007F61F2">
        <w:rPr>
          <w:rFonts w:ascii="Palatino Linotype" w:hAnsi="Palatino Linotype"/>
        </w:rPr>
        <w:t>te voto p</w:t>
      </w:r>
      <w:r w:rsidRPr="005D3F2D">
        <w:rPr>
          <w:rFonts w:ascii="Palatino Linotype" w:hAnsi="Palatino Linotype"/>
        </w:rPr>
        <w:t>articular</w:t>
      </w:r>
      <w:r w:rsidR="007F61F2">
        <w:rPr>
          <w:rFonts w:ascii="Palatino Linotype" w:hAnsi="Palatino Linotype"/>
        </w:rPr>
        <w:t xml:space="preserve"> concurrente</w:t>
      </w:r>
      <w:r w:rsidR="002211DC">
        <w:rPr>
          <w:rFonts w:ascii="Palatino Linotype" w:hAnsi="Palatino Linotype"/>
        </w:rPr>
        <w:t xml:space="preserve"> relacionado con la </w:t>
      </w:r>
      <w:r w:rsidR="001033CC">
        <w:rPr>
          <w:rFonts w:ascii="Palatino Linotype" w:hAnsi="Palatino Linotype"/>
        </w:rPr>
        <w:t>resolución</w:t>
      </w:r>
      <w:r w:rsidR="001033CC" w:rsidRPr="005D3F2D">
        <w:rPr>
          <w:rFonts w:ascii="Palatino Linotype" w:hAnsi="Palatino Linotype"/>
        </w:rPr>
        <w:t xml:space="preserve"> </w:t>
      </w:r>
      <w:r w:rsidR="001033CC">
        <w:rPr>
          <w:rFonts w:ascii="Palatino Linotype" w:hAnsi="Palatino Linotype"/>
        </w:rPr>
        <w:t>d</w:t>
      </w:r>
      <w:r w:rsidR="001033CC" w:rsidRPr="005D3F2D">
        <w:rPr>
          <w:rFonts w:ascii="Palatino Linotype" w:hAnsi="Palatino Linotype"/>
        </w:rPr>
        <w:t>el</w:t>
      </w:r>
      <w:r w:rsidRPr="005D3F2D">
        <w:rPr>
          <w:rFonts w:ascii="Palatino Linotype" w:hAnsi="Palatino Linotype"/>
        </w:rPr>
        <w:t xml:space="preserve"> recurso de revisión referido. </w:t>
      </w:r>
    </w:p>
    <w:p w:rsidR="00DF2FA3" w:rsidRDefault="00DF2FA3" w:rsidP="00DF2FA3">
      <w:pPr>
        <w:spacing w:before="100" w:beforeAutospacing="1" w:after="100" w:afterAutospacing="1" w:line="360" w:lineRule="auto"/>
        <w:jc w:val="both"/>
        <w:rPr>
          <w:rFonts w:ascii="Palatino Linotype" w:hAnsi="Palatino Linotype"/>
          <w:sz w:val="24"/>
        </w:rPr>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3"/>
      </w:tblGrid>
      <w:tr w:rsidR="00DF2FA3" w:rsidTr="00280EBF">
        <w:trPr>
          <w:trHeight w:val="2329"/>
        </w:trPr>
        <w:tc>
          <w:tcPr>
            <w:tcW w:w="4463" w:type="dxa"/>
          </w:tcPr>
          <w:p w:rsidR="00DF2FA3" w:rsidRDefault="00DF2FA3" w:rsidP="00280EBF">
            <w:pPr>
              <w:jc w:val="center"/>
              <w:rPr>
                <w:rFonts w:ascii="Palatino Linotype" w:hAnsi="Palatino Linotype"/>
                <w:sz w:val="24"/>
              </w:rPr>
            </w:pPr>
          </w:p>
          <w:p w:rsidR="00DF2FA3" w:rsidRDefault="00DF2FA3" w:rsidP="00280EBF">
            <w:pPr>
              <w:jc w:val="center"/>
              <w:rPr>
                <w:rFonts w:ascii="Palatino Linotype" w:hAnsi="Palatino Linotype"/>
                <w:b/>
                <w:sz w:val="24"/>
              </w:rPr>
            </w:pPr>
          </w:p>
          <w:p w:rsidR="00DF2FA3" w:rsidRDefault="00DF2FA3" w:rsidP="00280EBF">
            <w:pPr>
              <w:jc w:val="center"/>
              <w:rPr>
                <w:rFonts w:ascii="Palatino Linotype" w:hAnsi="Palatino Linotype"/>
                <w:b/>
                <w:sz w:val="24"/>
              </w:rPr>
            </w:pPr>
          </w:p>
          <w:p w:rsidR="00DF2FA3" w:rsidRDefault="00DF2FA3" w:rsidP="00280EBF">
            <w:pPr>
              <w:jc w:val="center"/>
              <w:rPr>
                <w:rFonts w:ascii="Palatino Linotype" w:hAnsi="Palatino Linotype"/>
                <w:b/>
                <w:sz w:val="24"/>
              </w:rPr>
            </w:pPr>
          </w:p>
          <w:p w:rsidR="00DF2FA3" w:rsidRDefault="00DF2FA3" w:rsidP="00280EBF">
            <w:pPr>
              <w:jc w:val="center"/>
              <w:rPr>
                <w:rFonts w:ascii="Palatino Linotype" w:hAnsi="Palatino Linotype"/>
                <w:b/>
                <w:sz w:val="24"/>
              </w:rPr>
            </w:pPr>
          </w:p>
          <w:p w:rsidR="00DF2FA3" w:rsidRPr="00E23F48" w:rsidRDefault="00834CDE" w:rsidP="00280EBF">
            <w:pPr>
              <w:jc w:val="center"/>
              <w:rPr>
                <w:rFonts w:ascii="Palatino Linotype" w:hAnsi="Palatino Linotype"/>
                <w:b/>
                <w:sz w:val="24"/>
              </w:rPr>
            </w:pPr>
            <w:r>
              <w:rPr>
                <w:rFonts w:ascii="Palatino Linotype" w:hAnsi="Palatino Linotype"/>
                <w:b/>
                <w:sz w:val="24"/>
              </w:rPr>
              <w:t>Javier Martínez Cruz</w:t>
            </w:r>
          </w:p>
          <w:p w:rsidR="00DF2FA3" w:rsidRPr="00E23F48" w:rsidRDefault="00834CDE" w:rsidP="00280EBF">
            <w:pPr>
              <w:jc w:val="center"/>
              <w:rPr>
                <w:rFonts w:ascii="Palatino Linotype" w:hAnsi="Palatino Linotype"/>
                <w:b/>
                <w:sz w:val="24"/>
              </w:rPr>
            </w:pPr>
            <w:r>
              <w:rPr>
                <w:rFonts w:ascii="Palatino Linotype" w:hAnsi="Palatino Linotype"/>
                <w:b/>
                <w:sz w:val="24"/>
              </w:rPr>
              <w:t>Comisionado</w:t>
            </w:r>
          </w:p>
          <w:p w:rsidR="00DF2FA3" w:rsidRDefault="00DF2FA3" w:rsidP="00280EBF">
            <w:pPr>
              <w:jc w:val="center"/>
            </w:pPr>
            <w:r w:rsidRPr="00E23F48">
              <w:rPr>
                <w:rFonts w:ascii="Palatino Linotype" w:hAnsi="Palatino Linotype"/>
                <w:b/>
                <w:sz w:val="24"/>
              </w:rPr>
              <w:t>(Rúbrica)</w:t>
            </w:r>
          </w:p>
        </w:tc>
        <w:tc>
          <w:tcPr>
            <w:tcW w:w="4463" w:type="dxa"/>
          </w:tcPr>
          <w:p w:rsidR="00DF2FA3" w:rsidRDefault="00DF2FA3" w:rsidP="00280EBF">
            <w:pPr>
              <w:jc w:val="center"/>
              <w:rPr>
                <w:rFonts w:ascii="Palatino Linotype" w:hAnsi="Palatino Linotype"/>
                <w:sz w:val="24"/>
              </w:rPr>
            </w:pPr>
          </w:p>
          <w:p w:rsidR="00DF2FA3" w:rsidRDefault="00DF2FA3" w:rsidP="00280EBF">
            <w:pPr>
              <w:jc w:val="center"/>
              <w:rPr>
                <w:rFonts w:ascii="Palatino Linotype" w:hAnsi="Palatino Linotype"/>
                <w:b/>
                <w:sz w:val="24"/>
              </w:rPr>
            </w:pPr>
          </w:p>
          <w:p w:rsidR="00DF2FA3" w:rsidRDefault="00DF2FA3" w:rsidP="00280EBF">
            <w:pPr>
              <w:jc w:val="center"/>
              <w:rPr>
                <w:rFonts w:ascii="Palatino Linotype" w:hAnsi="Palatino Linotype"/>
                <w:b/>
                <w:sz w:val="24"/>
              </w:rPr>
            </w:pPr>
          </w:p>
          <w:p w:rsidR="00DF2FA3" w:rsidRDefault="00DF2FA3" w:rsidP="00280EBF">
            <w:pPr>
              <w:jc w:val="center"/>
              <w:rPr>
                <w:rFonts w:ascii="Palatino Linotype" w:hAnsi="Palatino Linotype"/>
                <w:b/>
                <w:sz w:val="24"/>
              </w:rPr>
            </w:pPr>
          </w:p>
          <w:p w:rsidR="00DF2FA3" w:rsidRDefault="00DF2FA3" w:rsidP="00280EBF">
            <w:pPr>
              <w:jc w:val="center"/>
              <w:rPr>
                <w:rFonts w:ascii="Palatino Linotype" w:hAnsi="Palatino Linotype"/>
                <w:b/>
                <w:sz w:val="24"/>
              </w:rPr>
            </w:pPr>
          </w:p>
          <w:p w:rsidR="00DF2FA3" w:rsidRPr="00E23F48" w:rsidRDefault="00834CDE" w:rsidP="00280EBF">
            <w:pPr>
              <w:jc w:val="center"/>
              <w:rPr>
                <w:rFonts w:ascii="Palatino Linotype" w:hAnsi="Palatino Linotype"/>
                <w:b/>
                <w:sz w:val="24"/>
              </w:rPr>
            </w:pPr>
            <w:r>
              <w:rPr>
                <w:rFonts w:ascii="Palatino Linotype" w:hAnsi="Palatino Linotype"/>
                <w:b/>
                <w:sz w:val="24"/>
              </w:rPr>
              <w:t>Zulema Martínez Sánchez</w:t>
            </w:r>
          </w:p>
          <w:p w:rsidR="00DF2FA3" w:rsidRPr="00E23F48" w:rsidRDefault="00834CDE" w:rsidP="00280EBF">
            <w:pPr>
              <w:jc w:val="center"/>
              <w:rPr>
                <w:rFonts w:ascii="Palatino Linotype" w:hAnsi="Palatino Linotype"/>
                <w:b/>
                <w:sz w:val="24"/>
              </w:rPr>
            </w:pPr>
            <w:r>
              <w:rPr>
                <w:rFonts w:ascii="Palatino Linotype" w:hAnsi="Palatino Linotype"/>
                <w:b/>
                <w:sz w:val="24"/>
              </w:rPr>
              <w:t>Comisionada Presidenta</w:t>
            </w:r>
          </w:p>
          <w:p w:rsidR="00DF2FA3" w:rsidRDefault="00DF2FA3" w:rsidP="00280EBF">
            <w:pPr>
              <w:jc w:val="center"/>
            </w:pPr>
            <w:r w:rsidRPr="00E23F48">
              <w:rPr>
                <w:rFonts w:ascii="Palatino Linotype" w:hAnsi="Palatino Linotype"/>
                <w:b/>
                <w:sz w:val="24"/>
              </w:rPr>
              <w:t>(Rúbrica)</w:t>
            </w:r>
          </w:p>
        </w:tc>
      </w:tr>
    </w:tbl>
    <w:p w:rsidR="00DF2FA3" w:rsidRPr="005D3F2D" w:rsidRDefault="00DF2FA3" w:rsidP="00DF2FA3">
      <w:pPr>
        <w:spacing w:line="360" w:lineRule="auto"/>
        <w:ind w:right="-93"/>
        <w:jc w:val="both"/>
        <w:rPr>
          <w:rFonts w:ascii="Palatino Linotype" w:hAnsi="Palatino Linotype" w:cs="Arial"/>
        </w:rPr>
      </w:pPr>
    </w:p>
    <w:sectPr w:rsidR="00DF2FA3" w:rsidRPr="005D3F2D"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73" w:rsidRDefault="00C95B73" w:rsidP="004E7F5E">
      <w:pPr>
        <w:spacing w:after="0" w:line="240" w:lineRule="auto"/>
      </w:pPr>
      <w:r>
        <w:separator/>
      </w:r>
    </w:p>
  </w:endnote>
  <w:endnote w:type="continuationSeparator" w:id="0">
    <w:p w:rsidR="00C95B73" w:rsidRDefault="00C95B73"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B242A">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B242A">
      <w:rPr>
        <w:rFonts w:ascii="Arial" w:hAnsi="Arial" w:cs="Arial"/>
        <w:b/>
        <w:bCs/>
        <w:noProof/>
        <w:sz w:val="20"/>
        <w:szCs w:val="20"/>
      </w:rPr>
      <w:t>7</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73" w:rsidRDefault="00C95B73" w:rsidP="004E7F5E">
      <w:pPr>
        <w:spacing w:after="0" w:line="240" w:lineRule="auto"/>
      </w:pPr>
      <w:r>
        <w:separator/>
      </w:r>
    </w:p>
  </w:footnote>
  <w:footnote w:type="continuationSeparator" w:id="0">
    <w:p w:rsidR="00C95B73" w:rsidRDefault="00C95B73" w:rsidP="004E7F5E">
      <w:pPr>
        <w:spacing w:after="0" w:line="240" w:lineRule="auto"/>
      </w:pPr>
      <w:r>
        <w:continuationSeparator/>
      </w:r>
    </w:p>
  </w:footnote>
  <w:footnote w:id="1">
    <w:p w:rsidR="00AF6ED9" w:rsidRDefault="00AF6ED9" w:rsidP="00965A21">
      <w:pPr>
        <w:pStyle w:val="Textonotapie"/>
        <w:jc w:val="both"/>
        <w:rPr>
          <w:rFonts w:ascii="Palatino Linotype" w:hAnsi="Palatino Linotype"/>
          <w:i/>
        </w:rPr>
      </w:pPr>
      <w:r>
        <w:rPr>
          <w:rStyle w:val="Refdenotaalpie"/>
        </w:rPr>
        <w:footnoteRef/>
      </w:r>
      <w:r>
        <w:t xml:space="preserve"> </w:t>
      </w:r>
      <w:r w:rsidRPr="00AF6ED9">
        <w:rPr>
          <w:rFonts w:ascii="Palatino Linotype" w:hAnsi="Palatino Linotype"/>
          <w:i/>
        </w:rPr>
        <w:t xml:space="preserve">Publicados en el Periódico Oficial “Gaceta del Gobierno” del Estado de México, el </w:t>
      </w:r>
      <w:r>
        <w:rPr>
          <w:rFonts w:ascii="Palatino Linotype" w:hAnsi="Palatino Linotype"/>
          <w:i/>
        </w:rPr>
        <w:t>30</w:t>
      </w:r>
      <w:r w:rsidRPr="00AF6ED9">
        <w:rPr>
          <w:rFonts w:ascii="Palatino Linotype" w:hAnsi="Palatino Linotype"/>
          <w:i/>
        </w:rPr>
        <w:t xml:space="preserve"> de octubre de</w:t>
      </w:r>
      <w:r>
        <w:rPr>
          <w:rFonts w:ascii="Palatino Linotype" w:hAnsi="Palatino Linotype"/>
          <w:i/>
        </w:rPr>
        <w:t xml:space="preserve"> 2018.</w:t>
      </w:r>
    </w:p>
    <w:p w:rsidR="00AF6ED9" w:rsidRDefault="00AF6ED9" w:rsidP="00965A21">
      <w:pPr>
        <w:pStyle w:val="Textonotapie"/>
        <w:jc w:val="both"/>
      </w:pPr>
      <w:r>
        <w:rPr>
          <w:rFonts w:ascii="Palatino Linotype" w:hAnsi="Palatino Linotype"/>
          <w:i/>
        </w:rPr>
        <w:t xml:space="preserve">Cabe destacar que el lineamiento citado refiere al SICOSIEM (Sistema de Control de Solicitudes de Información del Estado de México), no obstante, el sistema actual se denomina SAIMEX </w:t>
      </w:r>
      <w:r w:rsidR="00965A21">
        <w:rPr>
          <w:rFonts w:ascii="Palatino Linotype" w:hAnsi="Palatino Linotype"/>
          <w:i/>
        </w:rPr>
        <w:t>(Sistema de Acceso a la Información Mexiquense).</w:t>
      </w:r>
    </w:p>
  </w:footnote>
  <w:footnote w:id="2">
    <w:p w:rsidR="002E6970" w:rsidRPr="00BA45EA" w:rsidRDefault="002E6970" w:rsidP="002E6970">
      <w:pPr>
        <w:pStyle w:val="Textonotapie"/>
        <w:jc w:val="both"/>
        <w:rPr>
          <w:i/>
        </w:rPr>
      </w:pPr>
      <w:r w:rsidRPr="00BA45EA">
        <w:rPr>
          <w:rStyle w:val="Refdenotaalpie"/>
          <w:rFonts w:ascii="Palatino Linotype" w:hAnsi="Palatino Linotype"/>
          <w:i/>
        </w:rPr>
        <w:footnoteRef/>
      </w:r>
      <w:r w:rsidRPr="00BA45EA">
        <w:rPr>
          <w:rFonts w:ascii="Palatino Linotype" w:hAnsi="Palatino Linotype"/>
          <w:i/>
        </w:rPr>
        <w:t xml:space="preserve"> </w:t>
      </w:r>
      <w:r w:rsidRPr="00720A92">
        <w:rPr>
          <w:rFonts w:ascii="Palatino Linotype" w:hAnsi="Palatino Linotype"/>
          <w:sz w:val="18"/>
        </w:rPr>
        <w:t>“El derecho de acceso a la información en el marco jurídico interamericano”.</w:t>
      </w:r>
      <w:r w:rsidRPr="00720A92">
        <w:rPr>
          <w:sz w:val="18"/>
        </w:rPr>
        <w:t xml:space="preserve"> </w:t>
      </w:r>
      <w:r w:rsidRPr="00720A92">
        <w:rPr>
          <w:rFonts w:ascii="Palatino Linotype" w:hAnsi="Palatino Linotype" w:cs="Bookman Old Style"/>
          <w:sz w:val="18"/>
        </w:rPr>
        <w:t>Relatoría Especial para la Libertad de Expresión Comisión de Derechos Humanos. Organización de los Estados Americanos.2010. página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5B242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5B242A"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r w:rsidR="003C152B">
      <w:rPr>
        <w:rFonts w:ascii="Palatino Linotype" w:hAnsi="Palatino Linotype"/>
        <w:b/>
        <w:sz w:val="20"/>
        <w:szCs w:val="20"/>
      </w:rPr>
      <w:t>CONCURRENTE</w:t>
    </w:r>
  </w:p>
  <w:p w:rsidR="00591E2C" w:rsidRDefault="00C46947" w:rsidP="00C46947">
    <w:pPr>
      <w:pStyle w:val="Encabezado"/>
      <w:jc w:val="right"/>
      <w:rPr>
        <w:rFonts w:ascii="Palatino Linotype" w:hAnsi="Palatino Linotype" w:cs="Arial"/>
        <w:b/>
        <w:bCs/>
        <w:sz w:val="20"/>
        <w:szCs w:val="20"/>
        <w:lang w:eastAsia="es-MX"/>
      </w:rPr>
    </w:pPr>
    <w:r w:rsidRPr="0022313A">
      <w:rPr>
        <w:rFonts w:ascii="Palatino Linotype" w:hAnsi="Palatino Linotype"/>
        <w:b/>
        <w:sz w:val="20"/>
        <w:szCs w:val="20"/>
      </w:rPr>
      <w:t xml:space="preserve">RECURSO DE REVISIÓN </w:t>
    </w:r>
    <w:r w:rsidR="004E0BB3">
      <w:rPr>
        <w:rFonts w:ascii="Palatino Linotype" w:hAnsi="Palatino Linotype" w:cs="Arial"/>
        <w:b/>
        <w:bCs/>
        <w:sz w:val="20"/>
        <w:szCs w:val="20"/>
        <w:lang w:eastAsia="es-MX"/>
      </w:rPr>
      <w:t>04052</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591E2C">
      <w:rPr>
        <w:rFonts w:ascii="Palatino Linotype" w:hAnsi="Palatino Linotype" w:cs="Arial"/>
        <w:b/>
        <w:bCs/>
        <w:sz w:val="20"/>
        <w:szCs w:val="20"/>
        <w:lang w:eastAsia="es-MX"/>
      </w:rPr>
      <w:t xml:space="preserve"> Y</w:t>
    </w:r>
  </w:p>
  <w:p w:rsidR="00C46947" w:rsidRDefault="00591E2C" w:rsidP="00C46947">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0</w:t>
    </w:r>
    <w:r w:rsidR="004E0BB3">
      <w:rPr>
        <w:rFonts w:ascii="Palatino Linotype" w:hAnsi="Palatino Linotype" w:cs="Arial"/>
        <w:b/>
        <w:bCs/>
        <w:sz w:val="20"/>
        <w:szCs w:val="20"/>
        <w:lang w:eastAsia="es-MX"/>
      </w:rPr>
      <w:t>4053</w:t>
    </w:r>
    <w:r>
      <w:rPr>
        <w:rFonts w:ascii="Palatino Linotype" w:hAnsi="Palatino Linotype" w:cs="Arial"/>
        <w:b/>
        <w:bCs/>
        <w:sz w:val="20"/>
        <w:szCs w:val="20"/>
        <w:lang w:eastAsia="es-MX"/>
      </w:rPr>
      <w:t>/INFOEM/IP/RR/2018 ACUMULADOS</w:t>
    </w:r>
    <w:r w:rsidR="00B72322" w:rsidRPr="0022313A">
      <w:rPr>
        <w:rFonts w:ascii="Palatino Linotype" w:hAnsi="Palatino Linotype" w:cs="Arial"/>
        <w:b/>
        <w:bCs/>
        <w:sz w:val="20"/>
        <w:szCs w:val="20"/>
        <w:lang w:eastAsia="es-MX"/>
      </w:rPr>
      <w:t xml:space="preserve"> </w:t>
    </w:r>
  </w:p>
  <w:p w:rsidR="00591E2C" w:rsidRPr="0022313A" w:rsidRDefault="00591E2C" w:rsidP="00C46947">
    <w:pPr>
      <w:pStyle w:val="Encabezado"/>
      <w:jc w:val="right"/>
      <w:rPr>
        <w:rFonts w:ascii="Palatino Linotype" w:hAnsi="Palatino Linotype"/>
        <w:b/>
        <w:sz w:val="20"/>
        <w:szCs w:val="20"/>
      </w:rPr>
    </w:pP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5B242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14F2F86"/>
    <w:multiLevelType w:val="hybridMultilevel"/>
    <w:tmpl w:val="C90450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57B879CC"/>
    <w:multiLevelType w:val="hybridMultilevel"/>
    <w:tmpl w:val="D5D870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77747085"/>
    <w:multiLevelType w:val="hybridMultilevel"/>
    <w:tmpl w:val="C9100F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4">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10"/>
  </w:num>
  <w:num w:numId="6">
    <w:abstractNumId w:val="14"/>
  </w:num>
  <w:num w:numId="7">
    <w:abstractNumId w:val="15"/>
  </w:num>
  <w:num w:numId="8">
    <w:abstractNumId w:val="3"/>
  </w:num>
  <w:num w:numId="9">
    <w:abstractNumId w:val="13"/>
  </w:num>
  <w:num w:numId="10">
    <w:abstractNumId w:val="11"/>
  </w:num>
  <w:num w:numId="11">
    <w:abstractNumId w:val="0"/>
  </w:num>
  <w:num w:numId="12">
    <w:abstractNumId w:val="8"/>
  </w:num>
  <w:num w:numId="13">
    <w:abstractNumId w:val="5"/>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7035"/>
    <w:rsid w:val="00043560"/>
    <w:rsid w:val="000458B4"/>
    <w:rsid w:val="000501FA"/>
    <w:rsid w:val="00050203"/>
    <w:rsid w:val="00053D8A"/>
    <w:rsid w:val="00055383"/>
    <w:rsid w:val="000556A8"/>
    <w:rsid w:val="000562B1"/>
    <w:rsid w:val="00056A42"/>
    <w:rsid w:val="00056BA4"/>
    <w:rsid w:val="00056BF3"/>
    <w:rsid w:val="00057D96"/>
    <w:rsid w:val="00066649"/>
    <w:rsid w:val="00066739"/>
    <w:rsid w:val="00067471"/>
    <w:rsid w:val="00067681"/>
    <w:rsid w:val="00067C2F"/>
    <w:rsid w:val="000718C0"/>
    <w:rsid w:val="000724A4"/>
    <w:rsid w:val="0007393F"/>
    <w:rsid w:val="000759A7"/>
    <w:rsid w:val="0007711D"/>
    <w:rsid w:val="00081C48"/>
    <w:rsid w:val="000872C6"/>
    <w:rsid w:val="000876A2"/>
    <w:rsid w:val="00087FB7"/>
    <w:rsid w:val="00090025"/>
    <w:rsid w:val="000919AF"/>
    <w:rsid w:val="0009246D"/>
    <w:rsid w:val="00096010"/>
    <w:rsid w:val="00096544"/>
    <w:rsid w:val="00096D99"/>
    <w:rsid w:val="0009736E"/>
    <w:rsid w:val="00097552"/>
    <w:rsid w:val="000A0EDF"/>
    <w:rsid w:val="000A3419"/>
    <w:rsid w:val="000A37CA"/>
    <w:rsid w:val="000A42B1"/>
    <w:rsid w:val="000A582B"/>
    <w:rsid w:val="000B0984"/>
    <w:rsid w:val="000B106B"/>
    <w:rsid w:val="000C2F53"/>
    <w:rsid w:val="000C390D"/>
    <w:rsid w:val="000C56D0"/>
    <w:rsid w:val="000C5730"/>
    <w:rsid w:val="000C5B64"/>
    <w:rsid w:val="000D14F0"/>
    <w:rsid w:val="000D3D02"/>
    <w:rsid w:val="000D43CC"/>
    <w:rsid w:val="000D440E"/>
    <w:rsid w:val="000D4640"/>
    <w:rsid w:val="000D5073"/>
    <w:rsid w:val="000D5AD7"/>
    <w:rsid w:val="000D5C10"/>
    <w:rsid w:val="000E07A9"/>
    <w:rsid w:val="000E3756"/>
    <w:rsid w:val="000E47AB"/>
    <w:rsid w:val="000E4F5E"/>
    <w:rsid w:val="000E4FD5"/>
    <w:rsid w:val="000E5652"/>
    <w:rsid w:val="000E6F9C"/>
    <w:rsid w:val="000E743E"/>
    <w:rsid w:val="000E7C2C"/>
    <w:rsid w:val="000F17E0"/>
    <w:rsid w:val="000F189B"/>
    <w:rsid w:val="000F1A2E"/>
    <w:rsid w:val="000F26F0"/>
    <w:rsid w:val="000F39DD"/>
    <w:rsid w:val="000F548D"/>
    <w:rsid w:val="000F7639"/>
    <w:rsid w:val="0010020A"/>
    <w:rsid w:val="00101DBA"/>
    <w:rsid w:val="001033C5"/>
    <w:rsid w:val="001033CC"/>
    <w:rsid w:val="00104D96"/>
    <w:rsid w:val="00107347"/>
    <w:rsid w:val="00107EC2"/>
    <w:rsid w:val="001111B0"/>
    <w:rsid w:val="00112C9B"/>
    <w:rsid w:val="001140DD"/>
    <w:rsid w:val="00116761"/>
    <w:rsid w:val="00116AE2"/>
    <w:rsid w:val="00120A74"/>
    <w:rsid w:val="0012242E"/>
    <w:rsid w:val="0012248A"/>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389A"/>
    <w:rsid w:val="00164033"/>
    <w:rsid w:val="001641CD"/>
    <w:rsid w:val="001674D2"/>
    <w:rsid w:val="00170859"/>
    <w:rsid w:val="00170CAC"/>
    <w:rsid w:val="00170F88"/>
    <w:rsid w:val="00171A10"/>
    <w:rsid w:val="001723DC"/>
    <w:rsid w:val="001749BF"/>
    <w:rsid w:val="00174E0C"/>
    <w:rsid w:val="0017514A"/>
    <w:rsid w:val="00180DDF"/>
    <w:rsid w:val="00182157"/>
    <w:rsid w:val="00183093"/>
    <w:rsid w:val="00183DF4"/>
    <w:rsid w:val="00184959"/>
    <w:rsid w:val="00185F02"/>
    <w:rsid w:val="001860B8"/>
    <w:rsid w:val="00194E9A"/>
    <w:rsid w:val="0019565B"/>
    <w:rsid w:val="00197702"/>
    <w:rsid w:val="001A1018"/>
    <w:rsid w:val="001A155B"/>
    <w:rsid w:val="001A200B"/>
    <w:rsid w:val="001A20C7"/>
    <w:rsid w:val="001A2486"/>
    <w:rsid w:val="001A31BB"/>
    <w:rsid w:val="001A4C6F"/>
    <w:rsid w:val="001B0EDA"/>
    <w:rsid w:val="001B2E18"/>
    <w:rsid w:val="001B435E"/>
    <w:rsid w:val="001B620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1F0E4F"/>
    <w:rsid w:val="001F76E7"/>
    <w:rsid w:val="00200F70"/>
    <w:rsid w:val="00203392"/>
    <w:rsid w:val="00203D6F"/>
    <w:rsid w:val="0020670F"/>
    <w:rsid w:val="00206DA6"/>
    <w:rsid w:val="00207FE6"/>
    <w:rsid w:val="00210753"/>
    <w:rsid w:val="002128D6"/>
    <w:rsid w:val="00214F41"/>
    <w:rsid w:val="002156F4"/>
    <w:rsid w:val="00217F26"/>
    <w:rsid w:val="002211DC"/>
    <w:rsid w:val="00222983"/>
    <w:rsid w:val="00222E6F"/>
    <w:rsid w:val="0022313A"/>
    <w:rsid w:val="002251C2"/>
    <w:rsid w:val="0022598D"/>
    <w:rsid w:val="00226985"/>
    <w:rsid w:val="002301FA"/>
    <w:rsid w:val="00230241"/>
    <w:rsid w:val="00230D57"/>
    <w:rsid w:val="00232C74"/>
    <w:rsid w:val="00232C86"/>
    <w:rsid w:val="00233293"/>
    <w:rsid w:val="002337F8"/>
    <w:rsid w:val="00233F68"/>
    <w:rsid w:val="002350CD"/>
    <w:rsid w:val="0023607D"/>
    <w:rsid w:val="0023687B"/>
    <w:rsid w:val="00244F5E"/>
    <w:rsid w:val="00251938"/>
    <w:rsid w:val="00251A53"/>
    <w:rsid w:val="00253290"/>
    <w:rsid w:val="002537DC"/>
    <w:rsid w:val="00253FFE"/>
    <w:rsid w:val="002551CB"/>
    <w:rsid w:val="00255F64"/>
    <w:rsid w:val="00256C42"/>
    <w:rsid w:val="00256D25"/>
    <w:rsid w:val="00257CFE"/>
    <w:rsid w:val="00261495"/>
    <w:rsid w:val="00261762"/>
    <w:rsid w:val="00261B1F"/>
    <w:rsid w:val="00261F84"/>
    <w:rsid w:val="0026218D"/>
    <w:rsid w:val="002631B7"/>
    <w:rsid w:val="00264035"/>
    <w:rsid w:val="002647AD"/>
    <w:rsid w:val="002659B1"/>
    <w:rsid w:val="00267A2F"/>
    <w:rsid w:val="00267D51"/>
    <w:rsid w:val="00271037"/>
    <w:rsid w:val="002715EA"/>
    <w:rsid w:val="002751DE"/>
    <w:rsid w:val="002756DC"/>
    <w:rsid w:val="002768A4"/>
    <w:rsid w:val="0027781D"/>
    <w:rsid w:val="0027797A"/>
    <w:rsid w:val="00282114"/>
    <w:rsid w:val="0028230C"/>
    <w:rsid w:val="00282D10"/>
    <w:rsid w:val="002862EE"/>
    <w:rsid w:val="0028787D"/>
    <w:rsid w:val="00290395"/>
    <w:rsid w:val="00291A09"/>
    <w:rsid w:val="00293F5C"/>
    <w:rsid w:val="0029433A"/>
    <w:rsid w:val="002963D1"/>
    <w:rsid w:val="002974A0"/>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E6970"/>
    <w:rsid w:val="002F02E8"/>
    <w:rsid w:val="002F2C04"/>
    <w:rsid w:val="002F3106"/>
    <w:rsid w:val="002F5F5F"/>
    <w:rsid w:val="002F7CD0"/>
    <w:rsid w:val="003001EA"/>
    <w:rsid w:val="0030172F"/>
    <w:rsid w:val="003037D3"/>
    <w:rsid w:val="00303E34"/>
    <w:rsid w:val="00306340"/>
    <w:rsid w:val="0031071E"/>
    <w:rsid w:val="0031383D"/>
    <w:rsid w:val="00315D1F"/>
    <w:rsid w:val="003201EE"/>
    <w:rsid w:val="00321CF3"/>
    <w:rsid w:val="00343CE1"/>
    <w:rsid w:val="003449BA"/>
    <w:rsid w:val="00347B55"/>
    <w:rsid w:val="00350062"/>
    <w:rsid w:val="00352BE9"/>
    <w:rsid w:val="00353B12"/>
    <w:rsid w:val="00356EF7"/>
    <w:rsid w:val="003577FB"/>
    <w:rsid w:val="003633CF"/>
    <w:rsid w:val="003636A3"/>
    <w:rsid w:val="003655A3"/>
    <w:rsid w:val="003670FA"/>
    <w:rsid w:val="00371AFE"/>
    <w:rsid w:val="00372AD0"/>
    <w:rsid w:val="00373349"/>
    <w:rsid w:val="0037354C"/>
    <w:rsid w:val="00375858"/>
    <w:rsid w:val="00381C9C"/>
    <w:rsid w:val="003821E6"/>
    <w:rsid w:val="00385164"/>
    <w:rsid w:val="00385516"/>
    <w:rsid w:val="00386108"/>
    <w:rsid w:val="00386D79"/>
    <w:rsid w:val="0039073D"/>
    <w:rsid w:val="00390A1D"/>
    <w:rsid w:val="00392E5E"/>
    <w:rsid w:val="00394BBA"/>
    <w:rsid w:val="00395B21"/>
    <w:rsid w:val="00395EFC"/>
    <w:rsid w:val="003972A2"/>
    <w:rsid w:val="003A1BC4"/>
    <w:rsid w:val="003A2F7F"/>
    <w:rsid w:val="003A3C8A"/>
    <w:rsid w:val="003A72BB"/>
    <w:rsid w:val="003B0A3E"/>
    <w:rsid w:val="003B1072"/>
    <w:rsid w:val="003B36D2"/>
    <w:rsid w:val="003B3C36"/>
    <w:rsid w:val="003B5016"/>
    <w:rsid w:val="003B5FBF"/>
    <w:rsid w:val="003C1430"/>
    <w:rsid w:val="003C152B"/>
    <w:rsid w:val="003C2717"/>
    <w:rsid w:val="003C55B3"/>
    <w:rsid w:val="003C714C"/>
    <w:rsid w:val="003C7531"/>
    <w:rsid w:val="003C7542"/>
    <w:rsid w:val="003D0592"/>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5BCE"/>
    <w:rsid w:val="003E7FD7"/>
    <w:rsid w:val="003F54EA"/>
    <w:rsid w:val="003F6045"/>
    <w:rsid w:val="0040160E"/>
    <w:rsid w:val="00401FC9"/>
    <w:rsid w:val="00404B2C"/>
    <w:rsid w:val="00404F09"/>
    <w:rsid w:val="00406F02"/>
    <w:rsid w:val="00407F23"/>
    <w:rsid w:val="00414324"/>
    <w:rsid w:val="00415574"/>
    <w:rsid w:val="00415C72"/>
    <w:rsid w:val="0041600F"/>
    <w:rsid w:val="00416635"/>
    <w:rsid w:val="00421827"/>
    <w:rsid w:val="00423412"/>
    <w:rsid w:val="00423A26"/>
    <w:rsid w:val="00423F5C"/>
    <w:rsid w:val="00425983"/>
    <w:rsid w:val="004265F4"/>
    <w:rsid w:val="00426A88"/>
    <w:rsid w:val="0043077C"/>
    <w:rsid w:val="00432641"/>
    <w:rsid w:val="004332ED"/>
    <w:rsid w:val="0043498E"/>
    <w:rsid w:val="00435C2D"/>
    <w:rsid w:val="0044097B"/>
    <w:rsid w:val="004410A9"/>
    <w:rsid w:val="0045294D"/>
    <w:rsid w:val="00452DD8"/>
    <w:rsid w:val="004542D4"/>
    <w:rsid w:val="004607C5"/>
    <w:rsid w:val="004616BD"/>
    <w:rsid w:val="004624D5"/>
    <w:rsid w:val="004642E4"/>
    <w:rsid w:val="00466A2B"/>
    <w:rsid w:val="00466B45"/>
    <w:rsid w:val="00473E92"/>
    <w:rsid w:val="004751B7"/>
    <w:rsid w:val="0047565B"/>
    <w:rsid w:val="00476ED1"/>
    <w:rsid w:val="00477A5A"/>
    <w:rsid w:val="004809B9"/>
    <w:rsid w:val="00482566"/>
    <w:rsid w:val="00482769"/>
    <w:rsid w:val="00483FF7"/>
    <w:rsid w:val="00486956"/>
    <w:rsid w:val="004873F6"/>
    <w:rsid w:val="00491129"/>
    <w:rsid w:val="0049314A"/>
    <w:rsid w:val="0049688B"/>
    <w:rsid w:val="004974D1"/>
    <w:rsid w:val="004A028F"/>
    <w:rsid w:val="004A063D"/>
    <w:rsid w:val="004A0E49"/>
    <w:rsid w:val="004A1AA8"/>
    <w:rsid w:val="004A39EA"/>
    <w:rsid w:val="004A41E2"/>
    <w:rsid w:val="004A4E01"/>
    <w:rsid w:val="004A7F19"/>
    <w:rsid w:val="004B2E72"/>
    <w:rsid w:val="004B4ECC"/>
    <w:rsid w:val="004B5241"/>
    <w:rsid w:val="004B548A"/>
    <w:rsid w:val="004B63AD"/>
    <w:rsid w:val="004B7785"/>
    <w:rsid w:val="004B7892"/>
    <w:rsid w:val="004C381C"/>
    <w:rsid w:val="004C4FC6"/>
    <w:rsid w:val="004C5C58"/>
    <w:rsid w:val="004C7553"/>
    <w:rsid w:val="004C7C6B"/>
    <w:rsid w:val="004D12D8"/>
    <w:rsid w:val="004D1325"/>
    <w:rsid w:val="004D1908"/>
    <w:rsid w:val="004D7269"/>
    <w:rsid w:val="004E0BB3"/>
    <w:rsid w:val="004E114C"/>
    <w:rsid w:val="004E4A6C"/>
    <w:rsid w:val="004E6098"/>
    <w:rsid w:val="004E7877"/>
    <w:rsid w:val="004E7E3A"/>
    <w:rsid w:val="004E7F5E"/>
    <w:rsid w:val="004F252E"/>
    <w:rsid w:val="004F3138"/>
    <w:rsid w:val="004F3187"/>
    <w:rsid w:val="004F4C63"/>
    <w:rsid w:val="004F5171"/>
    <w:rsid w:val="004F6367"/>
    <w:rsid w:val="004F6AF1"/>
    <w:rsid w:val="005038E6"/>
    <w:rsid w:val="00504707"/>
    <w:rsid w:val="005071BD"/>
    <w:rsid w:val="00514DB3"/>
    <w:rsid w:val="00515C4C"/>
    <w:rsid w:val="00521124"/>
    <w:rsid w:val="0052147B"/>
    <w:rsid w:val="0052194C"/>
    <w:rsid w:val="00521A0F"/>
    <w:rsid w:val="00523F88"/>
    <w:rsid w:val="00527157"/>
    <w:rsid w:val="005309F8"/>
    <w:rsid w:val="00530B1C"/>
    <w:rsid w:val="00530C9F"/>
    <w:rsid w:val="00532C4A"/>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B49"/>
    <w:rsid w:val="00564F2E"/>
    <w:rsid w:val="00564FE6"/>
    <w:rsid w:val="00575A23"/>
    <w:rsid w:val="005776B7"/>
    <w:rsid w:val="00577D85"/>
    <w:rsid w:val="00577DC3"/>
    <w:rsid w:val="00581E6C"/>
    <w:rsid w:val="00582061"/>
    <w:rsid w:val="00582D2C"/>
    <w:rsid w:val="00590084"/>
    <w:rsid w:val="005906A0"/>
    <w:rsid w:val="005906E8"/>
    <w:rsid w:val="00591560"/>
    <w:rsid w:val="00591DB8"/>
    <w:rsid w:val="00591E2C"/>
    <w:rsid w:val="005954CE"/>
    <w:rsid w:val="00595765"/>
    <w:rsid w:val="0059772D"/>
    <w:rsid w:val="00597AF1"/>
    <w:rsid w:val="005A0463"/>
    <w:rsid w:val="005A26AC"/>
    <w:rsid w:val="005A2B3F"/>
    <w:rsid w:val="005A3C30"/>
    <w:rsid w:val="005A5F0A"/>
    <w:rsid w:val="005A60F4"/>
    <w:rsid w:val="005A684B"/>
    <w:rsid w:val="005A73D5"/>
    <w:rsid w:val="005B05C7"/>
    <w:rsid w:val="005B242A"/>
    <w:rsid w:val="005B24E5"/>
    <w:rsid w:val="005B3410"/>
    <w:rsid w:val="005B3EBA"/>
    <w:rsid w:val="005B66FD"/>
    <w:rsid w:val="005B6F86"/>
    <w:rsid w:val="005B71F8"/>
    <w:rsid w:val="005B7C83"/>
    <w:rsid w:val="005C066F"/>
    <w:rsid w:val="005C08E0"/>
    <w:rsid w:val="005C2F76"/>
    <w:rsid w:val="005C315A"/>
    <w:rsid w:val="005C48FC"/>
    <w:rsid w:val="005C5351"/>
    <w:rsid w:val="005C5788"/>
    <w:rsid w:val="005C6771"/>
    <w:rsid w:val="005C7FFC"/>
    <w:rsid w:val="005D1A31"/>
    <w:rsid w:val="005D3F2D"/>
    <w:rsid w:val="005D4FD1"/>
    <w:rsid w:val="005D571A"/>
    <w:rsid w:val="005D7711"/>
    <w:rsid w:val="005E385C"/>
    <w:rsid w:val="005E440C"/>
    <w:rsid w:val="005E61BD"/>
    <w:rsid w:val="005E6525"/>
    <w:rsid w:val="005E7968"/>
    <w:rsid w:val="005E7E37"/>
    <w:rsid w:val="005F048A"/>
    <w:rsid w:val="005F3AA9"/>
    <w:rsid w:val="005F6A08"/>
    <w:rsid w:val="005F6F3D"/>
    <w:rsid w:val="005F7076"/>
    <w:rsid w:val="00601212"/>
    <w:rsid w:val="00603C38"/>
    <w:rsid w:val="00606DDB"/>
    <w:rsid w:val="00606E96"/>
    <w:rsid w:val="006108CE"/>
    <w:rsid w:val="006112EE"/>
    <w:rsid w:val="00611681"/>
    <w:rsid w:val="00611952"/>
    <w:rsid w:val="00611DF2"/>
    <w:rsid w:val="006151E7"/>
    <w:rsid w:val="00616274"/>
    <w:rsid w:val="006177F1"/>
    <w:rsid w:val="0062043B"/>
    <w:rsid w:val="00620E67"/>
    <w:rsid w:val="00622D24"/>
    <w:rsid w:val="00627BF2"/>
    <w:rsid w:val="00632045"/>
    <w:rsid w:val="0063243A"/>
    <w:rsid w:val="0063699A"/>
    <w:rsid w:val="00636D7E"/>
    <w:rsid w:val="006406DD"/>
    <w:rsid w:val="0064261A"/>
    <w:rsid w:val="00644334"/>
    <w:rsid w:val="00650E2C"/>
    <w:rsid w:val="006547FE"/>
    <w:rsid w:val="00655898"/>
    <w:rsid w:val="006558C6"/>
    <w:rsid w:val="00660074"/>
    <w:rsid w:val="006645F8"/>
    <w:rsid w:val="00664FA6"/>
    <w:rsid w:val="0066767D"/>
    <w:rsid w:val="00667B95"/>
    <w:rsid w:val="0067147B"/>
    <w:rsid w:val="00671D19"/>
    <w:rsid w:val="006736DB"/>
    <w:rsid w:val="0067562A"/>
    <w:rsid w:val="00676933"/>
    <w:rsid w:val="0067791C"/>
    <w:rsid w:val="00680521"/>
    <w:rsid w:val="006827F2"/>
    <w:rsid w:val="00682BB3"/>
    <w:rsid w:val="00683514"/>
    <w:rsid w:val="00683DDE"/>
    <w:rsid w:val="00684ACA"/>
    <w:rsid w:val="0068651D"/>
    <w:rsid w:val="006901B5"/>
    <w:rsid w:val="006908C3"/>
    <w:rsid w:val="00693F7C"/>
    <w:rsid w:val="00694784"/>
    <w:rsid w:val="00694C86"/>
    <w:rsid w:val="006953FF"/>
    <w:rsid w:val="00695683"/>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34A"/>
    <w:rsid w:val="006C55A2"/>
    <w:rsid w:val="006D0738"/>
    <w:rsid w:val="006D2799"/>
    <w:rsid w:val="006D3FD3"/>
    <w:rsid w:val="006D42E5"/>
    <w:rsid w:val="006D731B"/>
    <w:rsid w:val="006E0AEC"/>
    <w:rsid w:val="006E255A"/>
    <w:rsid w:val="006E2A9B"/>
    <w:rsid w:val="006E2BFD"/>
    <w:rsid w:val="006E34B8"/>
    <w:rsid w:val="006E3A08"/>
    <w:rsid w:val="006E4397"/>
    <w:rsid w:val="006E63D0"/>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A92"/>
    <w:rsid w:val="00720D0B"/>
    <w:rsid w:val="00722534"/>
    <w:rsid w:val="00724ABC"/>
    <w:rsid w:val="007267E7"/>
    <w:rsid w:val="00730EDC"/>
    <w:rsid w:val="00733B37"/>
    <w:rsid w:val="00733C88"/>
    <w:rsid w:val="00733E59"/>
    <w:rsid w:val="00735F99"/>
    <w:rsid w:val="0074016E"/>
    <w:rsid w:val="007409FD"/>
    <w:rsid w:val="007411E3"/>
    <w:rsid w:val="00742921"/>
    <w:rsid w:val="00742F54"/>
    <w:rsid w:val="0074485A"/>
    <w:rsid w:val="00746F7F"/>
    <w:rsid w:val="00747B44"/>
    <w:rsid w:val="00751804"/>
    <w:rsid w:val="00753328"/>
    <w:rsid w:val="007551CB"/>
    <w:rsid w:val="007608C1"/>
    <w:rsid w:val="007622A3"/>
    <w:rsid w:val="00762615"/>
    <w:rsid w:val="00763242"/>
    <w:rsid w:val="00764273"/>
    <w:rsid w:val="00767DBE"/>
    <w:rsid w:val="00771214"/>
    <w:rsid w:val="0077170A"/>
    <w:rsid w:val="00771984"/>
    <w:rsid w:val="00773FC0"/>
    <w:rsid w:val="00774512"/>
    <w:rsid w:val="007754CB"/>
    <w:rsid w:val="00780DA7"/>
    <w:rsid w:val="007850CB"/>
    <w:rsid w:val="00790E57"/>
    <w:rsid w:val="0079186B"/>
    <w:rsid w:val="00792413"/>
    <w:rsid w:val="00794B8C"/>
    <w:rsid w:val="00797265"/>
    <w:rsid w:val="00797361"/>
    <w:rsid w:val="007A0BA3"/>
    <w:rsid w:val="007A18E4"/>
    <w:rsid w:val="007A277F"/>
    <w:rsid w:val="007A4602"/>
    <w:rsid w:val="007A7BF6"/>
    <w:rsid w:val="007B10BA"/>
    <w:rsid w:val="007B1FFA"/>
    <w:rsid w:val="007B3391"/>
    <w:rsid w:val="007B409F"/>
    <w:rsid w:val="007B41CD"/>
    <w:rsid w:val="007B66D8"/>
    <w:rsid w:val="007B69EA"/>
    <w:rsid w:val="007C1EE2"/>
    <w:rsid w:val="007C6FF1"/>
    <w:rsid w:val="007D2C55"/>
    <w:rsid w:val="007D667D"/>
    <w:rsid w:val="007D69C1"/>
    <w:rsid w:val="007D6E6B"/>
    <w:rsid w:val="007D74E6"/>
    <w:rsid w:val="007E291F"/>
    <w:rsid w:val="007E3030"/>
    <w:rsid w:val="007F0CB7"/>
    <w:rsid w:val="007F2A98"/>
    <w:rsid w:val="007F3483"/>
    <w:rsid w:val="007F3613"/>
    <w:rsid w:val="007F496E"/>
    <w:rsid w:val="007F4A64"/>
    <w:rsid w:val="007F61F2"/>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03C0"/>
    <w:rsid w:val="00822844"/>
    <w:rsid w:val="00822918"/>
    <w:rsid w:val="008262F7"/>
    <w:rsid w:val="00827638"/>
    <w:rsid w:val="00827F75"/>
    <w:rsid w:val="00832161"/>
    <w:rsid w:val="008322EE"/>
    <w:rsid w:val="00834908"/>
    <w:rsid w:val="00834CDE"/>
    <w:rsid w:val="00835727"/>
    <w:rsid w:val="00837230"/>
    <w:rsid w:val="00837F1F"/>
    <w:rsid w:val="00843EE6"/>
    <w:rsid w:val="008459EE"/>
    <w:rsid w:val="008516F2"/>
    <w:rsid w:val="00852329"/>
    <w:rsid w:val="008525A3"/>
    <w:rsid w:val="00852F0D"/>
    <w:rsid w:val="00854AC4"/>
    <w:rsid w:val="00857730"/>
    <w:rsid w:val="00863B81"/>
    <w:rsid w:val="00866BB2"/>
    <w:rsid w:val="00870442"/>
    <w:rsid w:val="008712FC"/>
    <w:rsid w:val="00872969"/>
    <w:rsid w:val="008729B1"/>
    <w:rsid w:val="00873A75"/>
    <w:rsid w:val="00873C75"/>
    <w:rsid w:val="00875530"/>
    <w:rsid w:val="008775F5"/>
    <w:rsid w:val="008800B0"/>
    <w:rsid w:val="0088188F"/>
    <w:rsid w:val="00882092"/>
    <w:rsid w:val="008830F8"/>
    <w:rsid w:val="00883EC1"/>
    <w:rsid w:val="00885973"/>
    <w:rsid w:val="00890BE0"/>
    <w:rsid w:val="00897FDF"/>
    <w:rsid w:val="008A144C"/>
    <w:rsid w:val="008A1AB0"/>
    <w:rsid w:val="008A3397"/>
    <w:rsid w:val="008B1B75"/>
    <w:rsid w:val="008B2205"/>
    <w:rsid w:val="008B402E"/>
    <w:rsid w:val="008B5133"/>
    <w:rsid w:val="008B5CF6"/>
    <w:rsid w:val="008B77CF"/>
    <w:rsid w:val="008C3D9C"/>
    <w:rsid w:val="008C496D"/>
    <w:rsid w:val="008C4FC0"/>
    <w:rsid w:val="008C69F7"/>
    <w:rsid w:val="008C6C73"/>
    <w:rsid w:val="008D17AF"/>
    <w:rsid w:val="008D4C93"/>
    <w:rsid w:val="008D6D23"/>
    <w:rsid w:val="008E228A"/>
    <w:rsid w:val="008E3C18"/>
    <w:rsid w:val="008E425D"/>
    <w:rsid w:val="008E47AD"/>
    <w:rsid w:val="008E4F87"/>
    <w:rsid w:val="008E5891"/>
    <w:rsid w:val="008E6760"/>
    <w:rsid w:val="008E6856"/>
    <w:rsid w:val="008F1B97"/>
    <w:rsid w:val="008F3EE4"/>
    <w:rsid w:val="008F56F1"/>
    <w:rsid w:val="008F726A"/>
    <w:rsid w:val="0090073F"/>
    <w:rsid w:val="0090404B"/>
    <w:rsid w:val="00904807"/>
    <w:rsid w:val="0090690F"/>
    <w:rsid w:val="00906932"/>
    <w:rsid w:val="009103E5"/>
    <w:rsid w:val="00910B6C"/>
    <w:rsid w:val="009130B9"/>
    <w:rsid w:val="009130E6"/>
    <w:rsid w:val="00913167"/>
    <w:rsid w:val="009171CB"/>
    <w:rsid w:val="00917FB4"/>
    <w:rsid w:val="009212D9"/>
    <w:rsid w:val="00921880"/>
    <w:rsid w:val="0092406A"/>
    <w:rsid w:val="00924E3B"/>
    <w:rsid w:val="009273D1"/>
    <w:rsid w:val="00931BB1"/>
    <w:rsid w:val="00931E83"/>
    <w:rsid w:val="00934B2E"/>
    <w:rsid w:val="00935E90"/>
    <w:rsid w:val="009376B6"/>
    <w:rsid w:val="00942B51"/>
    <w:rsid w:val="00951C7B"/>
    <w:rsid w:val="00952A40"/>
    <w:rsid w:val="00952FDA"/>
    <w:rsid w:val="0095511E"/>
    <w:rsid w:val="00955693"/>
    <w:rsid w:val="00956B51"/>
    <w:rsid w:val="009575B3"/>
    <w:rsid w:val="00960185"/>
    <w:rsid w:val="00960430"/>
    <w:rsid w:val="00961D8C"/>
    <w:rsid w:val="009646BA"/>
    <w:rsid w:val="009647CA"/>
    <w:rsid w:val="009653EB"/>
    <w:rsid w:val="00965A21"/>
    <w:rsid w:val="0096766D"/>
    <w:rsid w:val="00967754"/>
    <w:rsid w:val="009678C0"/>
    <w:rsid w:val="0097063B"/>
    <w:rsid w:val="00970B36"/>
    <w:rsid w:val="0097210F"/>
    <w:rsid w:val="00972DD5"/>
    <w:rsid w:val="00973744"/>
    <w:rsid w:val="00973B8F"/>
    <w:rsid w:val="0097472F"/>
    <w:rsid w:val="009752B5"/>
    <w:rsid w:val="00975E3E"/>
    <w:rsid w:val="009761A1"/>
    <w:rsid w:val="00985020"/>
    <w:rsid w:val="009859BF"/>
    <w:rsid w:val="00986B92"/>
    <w:rsid w:val="00990CD0"/>
    <w:rsid w:val="00992C45"/>
    <w:rsid w:val="009936CF"/>
    <w:rsid w:val="00995C22"/>
    <w:rsid w:val="00996283"/>
    <w:rsid w:val="009A02A5"/>
    <w:rsid w:val="009A08F6"/>
    <w:rsid w:val="009A3092"/>
    <w:rsid w:val="009A4D6E"/>
    <w:rsid w:val="009A788D"/>
    <w:rsid w:val="009B0366"/>
    <w:rsid w:val="009B08AD"/>
    <w:rsid w:val="009B0A5D"/>
    <w:rsid w:val="009B11F1"/>
    <w:rsid w:val="009B2B5C"/>
    <w:rsid w:val="009B347D"/>
    <w:rsid w:val="009B48D0"/>
    <w:rsid w:val="009B52A6"/>
    <w:rsid w:val="009B5C84"/>
    <w:rsid w:val="009B6512"/>
    <w:rsid w:val="009B6A1E"/>
    <w:rsid w:val="009B7151"/>
    <w:rsid w:val="009B7357"/>
    <w:rsid w:val="009C3848"/>
    <w:rsid w:val="009C7044"/>
    <w:rsid w:val="009D0F4D"/>
    <w:rsid w:val="009D4FB8"/>
    <w:rsid w:val="009E2E04"/>
    <w:rsid w:val="009E3486"/>
    <w:rsid w:val="009E51BB"/>
    <w:rsid w:val="009E53B7"/>
    <w:rsid w:val="009E5C1B"/>
    <w:rsid w:val="009E6743"/>
    <w:rsid w:val="009F1F01"/>
    <w:rsid w:val="009F50E8"/>
    <w:rsid w:val="009F7246"/>
    <w:rsid w:val="009F7D1D"/>
    <w:rsid w:val="00A0047B"/>
    <w:rsid w:val="00A03B31"/>
    <w:rsid w:val="00A053DB"/>
    <w:rsid w:val="00A06331"/>
    <w:rsid w:val="00A06DA1"/>
    <w:rsid w:val="00A07710"/>
    <w:rsid w:val="00A14F6A"/>
    <w:rsid w:val="00A15929"/>
    <w:rsid w:val="00A171ED"/>
    <w:rsid w:val="00A21954"/>
    <w:rsid w:val="00A21DC0"/>
    <w:rsid w:val="00A25334"/>
    <w:rsid w:val="00A26654"/>
    <w:rsid w:val="00A2789D"/>
    <w:rsid w:val="00A3259E"/>
    <w:rsid w:val="00A33997"/>
    <w:rsid w:val="00A33A99"/>
    <w:rsid w:val="00A35FBC"/>
    <w:rsid w:val="00A406BA"/>
    <w:rsid w:val="00A40ADA"/>
    <w:rsid w:val="00A418D2"/>
    <w:rsid w:val="00A4315D"/>
    <w:rsid w:val="00A43779"/>
    <w:rsid w:val="00A46651"/>
    <w:rsid w:val="00A467EF"/>
    <w:rsid w:val="00A5140D"/>
    <w:rsid w:val="00A51803"/>
    <w:rsid w:val="00A52773"/>
    <w:rsid w:val="00A52B9A"/>
    <w:rsid w:val="00A53050"/>
    <w:rsid w:val="00A53E9B"/>
    <w:rsid w:val="00A5446E"/>
    <w:rsid w:val="00A54674"/>
    <w:rsid w:val="00A5507A"/>
    <w:rsid w:val="00A57FB4"/>
    <w:rsid w:val="00A6000E"/>
    <w:rsid w:val="00A60286"/>
    <w:rsid w:val="00A6152F"/>
    <w:rsid w:val="00A65E23"/>
    <w:rsid w:val="00A66720"/>
    <w:rsid w:val="00A66C66"/>
    <w:rsid w:val="00A673AF"/>
    <w:rsid w:val="00A71F09"/>
    <w:rsid w:val="00A7286D"/>
    <w:rsid w:val="00A73DEC"/>
    <w:rsid w:val="00A7527D"/>
    <w:rsid w:val="00A775CF"/>
    <w:rsid w:val="00A7763C"/>
    <w:rsid w:val="00A8359B"/>
    <w:rsid w:val="00A86EE1"/>
    <w:rsid w:val="00A879C1"/>
    <w:rsid w:val="00AA1890"/>
    <w:rsid w:val="00AA3165"/>
    <w:rsid w:val="00AA5AE9"/>
    <w:rsid w:val="00AA64AC"/>
    <w:rsid w:val="00AA742A"/>
    <w:rsid w:val="00AB30DA"/>
    <w:rsid w:val="00AB364D"/>
    <w:rsid w:val="00AC2F68"/>
    <w:rsid w:val="00AD11BE"/>
    <w:rsid w:val="00AD2316"/>
    <w:rsid w:val="00AD33A9"/>
    <w:rsid w:val="00AD5147"/>
    <w:rsid w:val="00AD5BE2"/>
    <w:rsid w:val="00AD5BF8"/>
    <w:rsid w:val="00AD6F47"/>
    <w:rsid w:val="00AD71C4"/>
    <w:rsid w:val="00AD7B3A"/>
    <w:rsid w:val="00AE0D5F"/>
    <w:rsid w:val="00AE1206"/>
    <w:rsid w:val="00AE3666"/>
    <w:rsid w:val="00AE3D18"/>
    <w:rsid w:val="00AF0C8A"/>
    <w:rsid w:val="00AF137F"/>
    <w:rsid w:val="00AF19FD"/>
    <w:rsid w:val="00AF61C2"/>
    <w:rsid w:val="00AF6ED9"/>
    <w:rsid w:val="00AF7A99"/>
    <w:rsid w:val="00AF7CC4"/>
    <w:rsid w:val="00B00771"/>
    <w:rsid w:val="00B022B0"/>
    <w:rsid w:val="00B073F9"/>
    <w:rsid w:val="00B07568"/>
    <w:rsid w:val="00B07701"/>
    <w:rsid w:val="00B106E8"/>
    <w:rsid w:val="00B155CC"/>
    <w:rsid w:val="00B22E2E"/>
    <w:rsid w:val="00B23E9E"/>
    <w:rsid w:val="00B26543"/>
    <w:rsid w:val="00B30855"/>
    <w:rsid w:val="00B34377"/>
    <w:rsid w:val="00B345A3"/>
    <w:rsid w:val="00B36B84"/>
    <w:rsid w:val="00B40A0E"/>
    <w:rsid w:val="00B40FBE"/>
    <w:rsid w:val="00B4308C"/>
    <w:rsid w:val="00B471AD"/>
    <w:rsid w:val="00B479ED"/>
    <w:rsid w:val="00B518D8"/>
    <w:rsid w:val="00B54097"/>
    <w:rsid w:val="00B54900"/>
    <w:rsid w:val="00B61A77"/>
    <w:rsid w:val="00B65125"/>
    <w:rsid w:val="00B663EB"/>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138C"/>
    <w:rsid w:val="00BA07D5"/>
    <w:rsid w:val="00BA257B"/>
    <w:rsid w:val="00BA6D9D"/>
    <w:rsid w:val="00BA72D7"/>
    <w:rsid w:val="00BC1231"/>
    <w:rsid w:val="00BC2CA8"/>
    <w:rsid w:val="00BC425B"/>
    <w:rsid w:val="00BC4788"/>
    <w:rsid w:val="00BC6AC0"/>
    <w:rsid w:val="00BC6CAA"/>
    <w:rsid w:val="00BC7474"/>
    <w:rsid w:val="00BD0B9F"/>
    <w:rsid w:val="00BD2482"/>
    <w:rsid w:val="00BD40F9"/>
    <w:rsid w:val="00BD4572"/>
    <w:rsid w:val="00BD7632"/>
    <w:rsid w:val="00BE3097"/>
    <w:rsid w:val="00BE5589"/>
    <w:rsid w:val="00BE581A"/>
    <w:rsid w:val="00BE5877"/>
    <w:rsid w:val="00BE5AD0"/>
    <w:rsid w:val="00BF09AE"/>
    <w:rsid w:val="00BF13CB"/>
    <w:rsid w:val="00BF34FC"/>
    <w:rsid w:val="00BF39F9"/>
    <w:rsid w:val="00BF3ECA"/>
    <w:rsid w:val="00BF688C"/>
    <w:rsid w:val="00BF72ED"/>
    <w:rsid w:val="00BF7555"/>
    <w:rsid w:val="00BF7A3F"/>
    <w:rsid w:val="00C00387"/>
    <w:rsid w:val="00C01EFF"/>
    <w:rsid w:val="00C024AB"/>
    <w:rsid w:val="00C02FC6"/>
    <w:rsid w:val="00C03B35"/>
    <w:rsid w:val="00C041F2"/>
    <w:rsid w:val="00C05456"/>
    <w:rsid w:val="00C05F91"/>
    <w:rsid w:val="00C11889"/>
    <w:rsid w:val="00C12ABB"/>
    <w:rsid w:val="00C13908"/>
    <w:rsid w:val="00C13B54"/>
    <w:rsid w:val="00C15485"/>
    <w:rsid w:val="00C173DD"/>
    <w:rsid w:val="00C17A5C"/>
    <w:rsid w:val="00C20262"/>
    <w:rsid w:val="00C2172B"/>
    <w:rsid w:val="00C25B6D"/>
    <w:rsid w:val="00C2627D"/>
    <w:rsid w:val="00C26812"/>
    <w:rsid w:val="00C2770E"/>
    <w:rsid w:val="00C27FE8"/>
    <w:rsid w:val="00C3081A"/>
    <w:rsid w:val="00C32C4F"/>
    <w:rsid w:val="00C355D9"/>
    <w:rsid w:val="00C35BB2"/>
    <w:rsid w:val="00C378E0"/>
    <w:rsid w:val="00C40391"/>
    <w:rsid w:val="00C42941"/>
    <w:rsid w:val="00C42BCD"/>
    <w:rsid w:val="00C434EE"/>
    <w:rsid w:val="00C4614C"/>
    <w:rsid w:val="00C46947"/>
    <w:rsid w:val="00C511C3"/>
    <w:rsid w:val="00C517B2"/>
    <w:rsid w:val="00C51F7E"/>
    <w:rsid w:val="00C5267B"/>
    <w:rsid w:val="00C57109"/>
    <w:rsid w:val="00C5755C"/>
    <w:rsid w:val="00C57E8F"/>
    <w:rsid w:val="00C60027"/>
    <w:rsid w:val="00C60577"/>
    <w:rsid w:val="00C615A3"/>
    <w:rsid w:val="00C6243F"/>
    <w:rsid w:val="00C63640"/>
    <w:rsid w:val="00C63738"/>
    <w:rsid w:val="00C651B3"/>
    <w:rsid w:val="00C6597C"/>
    <w:rsid w:val="00C66AB9"/>
    <w:rsid w:val="00C71A41"/>
    <w:rsid w:val="00C72436"/>
    <w:rsid w:val="00C73C77"/>
    <w:rsid w:val="00C74D98"/>
    <w:rsid w:val="00C75249"/>
    <w:rsid w:val="00C7550D"/>
    <w:rsid w:val="00C75F15"/>
    <w:rsid w:val="00C764BE"/>
    <w:rsid w:val="00C80FB1"/>
    <w:rsid w:val="00C812EA"/>
    <w:rsid w:val="00C8134F"/>
    <w:rsid w:val="00C84367"/>
    <w:rsid w:val="00C86E8F"/>
    <w:rsid w:val="00C87AA6"/>
    <w:rsid w:val="00C911E6"/>
    <w:rsid w:val="00C92F62"/>
    <w:rsid w:val="00C93943"/>
    <w:rsid w:val="00C93E16"/>
    <w:rsid w:val="00C93ED4"/>
    <w:rsid w:val="00C95548"/>
    <w:rsid w:val="00C95570"/>
    <w:rsid w:val="00C95B73"/>
    <w:rsid w:val="00C95B9D"/>
    <w:rsid w:val="00C96911"/>
    <w:rsid w:val="00CA02DA"/>
    <w:rsid w:val="00CA19A6"/>
    <w:rsid w:val="00CA2BAF"/>
    <w:rsid w:val="00CA35BE"/>
    <w:rsid w:val="00CA4DC5"/>
    <w:rsid w:val="00CB409F"/>
    <w:rsid w:val="00CB783F"/>
    <w:rsid w:val="00CB7F56"/>
    <w:rsid w:val="00CC10B2"/>
    <w:rsid w:val="00CC27D2"/>
    <w:rsid w:val="00CC291D"/>
    <w:rsid w:val="00CC2A00"/>
    <w:rsid w:val="00CC38B9"/>
    <w:rsid w:val="00CC4037"/>
    <w:rsid w:val="00CC535D"/>
    <w:rsid w:val="00CC5522"/>
    <w:rsid w:val="00CC65C4"/>
    <w:rsid w:val="00CC6F0B"/>
    <w:rsid w:val="00CC7EF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241C2"/>
    <w:rsid w:val="00D30C77"/>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397F"/>
    <w:rsid w:val="00D64C13"/>
    <w:rsid w:val="00D6503E"/>
    <w:rsid w:val="00D66FB6"/>
    <w:rsid w:val="00D7031D"/>
    <w:rsid w:val="00D70E50"/>
    <w:rsid w:val="00D71B39"/>
    <w:rsid w:val="00D75ED1"/>
    <w:rsid w:val="00D77519"/>
    <w:rsid w:val="00D82F11"/>
    <w:rsid w:val="00D84E60"/>
    <w:rsid w:val="00D85F7B"/>
    <w:rsid w:val="00D85F7F"/>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2967"/>
    <w:rsid w:val="00DD492B"/>
    <w:rsid w:val="00DD5688"/>
    <w:rsid w:val="00DE22FA"/>
    <w:rsid w:val="00DE5B4A"/>
    <w:rsid w:val="00DF025C"/>
    <w:rsid w:val="00DF0F90"/>
    <w:rsid w:val="00DF16A6"/>
    <w:rsid w:val="00DF2FA3"/>
    <w:rsid w:val="00DF4CBE"/>
    <w:rsid w:val="00DF6A36"/>
    <w:rsid w:val="00DF6EE0"/>
    <w:rsid w:val="00E01423"/>
    <w:rsid w:val="00E0254A"/>
    <w:rsid w:val="00E03E19"/>
    <w:rsid w:val="00E109B9"/>
    <w:rsid w:val="00E11CA8"/>
    <w:rsid w:val="00E15FAE"/>
    <w:rsid w:val="00E16588"/>
    <w:rsid w:val="00E1671E"/>
    <w:rsid w:val="00E21091"/>
    <w:rsid w:val="00E23431"/>
    <w:rsid w:val="00E23AEF"/>
    <w:rsid w:val="00E24CC0"/>
    <w:rsid w:val="00E30EBE"/>
    <w:rsid w:val="00E30EEA"/>
    <w:rsid w:val="00E31D2B"/>
    <w:rsid w:val="00E31F49"/>
    <w:rsid w:val="00E33217"/>
    <w:rsid w:val="00E370CC"/>
    <w:rsid w:val="00E4373E"/>
    <w:rsid w:val="00E44F0D"/>
    <w:rsid w:val="00E504DF"/>
    <w:rsid w:val="00E506F7"/>
    <w:rsid w:val="00E5148C"/>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02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895"/>
    <w:rsid w:val="00EB1D33"/>
    <w:rsid w:val="00EB27C4"/>
    <w:rsid w:val="00EB2D2F"/>
    <w:rsid w:val="00EB5655"/>
    <w:rsid w:val="00EC11AE"/>
    <w:rsid w:val="00EC2776"/>
    <w:rsid w:val="00EC33BF"/>
    <w:rsid w:val="00EC5222"/>
    <w:rsid w:val="00ED129B"/>
    <w:rsid w:val="00ED23BE"/>
    <w:rsid w:val="00ED276E"/>
    <w:rsid w:val="00ED2E02"/>
    <w:rsid w:val="00ED3D6B"/>
    <w:rsid w:val="00ED5D6B"/>
    <w:rsid w:val="00EE347C"/>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45905"/>
    <w:rsid w:val="00F50083"/>
    <w:rsid w:val="00F53251"/>
    <w:rsid w:val="00F62E4B"/>
    <w:rsid w:val="00F64E32"/>
    <w:rsid w:val="00F65298"/>
    <w:rsid w:val="00F66590"/>
    <w:rsid w:val="00F7085F"/>
    <w:rsid w:val="00F7163D"/>
    <w:rsid w:val="00F73FE1"/>
    <w:rsid w:val="00F750A1"/>
    <w:rsid w:val="00F753C9"/>
    <w:rsid w:val="00F76B43"/>
    <w:rsid w:val="00F76E62"/>
    <w:rsid w:val="00F77169"/>
    <w:rsid w:val="00F81750"/>
    <w:rsid w:val="00F868AF"/>
    <w:rsid w:val="00F90C66"/>
    <w:rsid w:val="00F91E06"/>
    <w:rsid w:val="00F935BE"/>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F007D"/>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27A71-BF5E-4BCF-9BC2-8B687FD1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2046</Words>
  <Characters>11258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2019-01-21T21:07:00Z</cp:lastPrinted>
  <dcterms:created xsi:type="dcterms:W3CDTF">2019-02-27T22:57:00Z</dcterms:created>
  <dcterms:modified xsi:type="dcterms:W3CDTF">2019-02-27T22:57:00Z</dcterms:modified>
</cp:coreProperties>
</file>